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38B9CC">
      <w:pPr>
        <w:keepNext w:val="0"/>
        <w:keepLines w:val="0"/>
        <w:pageBreakBefore w:val="0"/>
        <w:widowControl w:val="0"/>
        <w:kinsoku/>
        <w:wordWrap/>
        <w:overflowPunct/>
        <w:topLinePunct w:val="0"/>
        <w:autoSpaceDE/>
        <w:autoSpaceDN/>
        <w:bidi w:val="0"/>
        <w:spacing w:line="578" w:lineRule="exact"/>
        <w:ind w:left="0" w:leftChars="0"/>
        <w:textAlignment w:val="auto"/>
        <w:rPr>
          <w:rFonts w:hint="eastAsia" w:ascii="黑体" w:hAnsi="黑体" w:eastAsia="黑体" w:cs="黑体"/>
          <w:highlight w:val="none"/>
          <w:lang w:val="en-US" w:eastAsia="zh-CN"/>
        </w:rPr>
      </w:pPr>
      <w:r>
        <w:rPr>
          <w:rFonts w:hint="eastAsia" w:ascii="黑体" w:hAnsi="黑体" w:eastAsia="黑体" w:cs="黑体"/>
          <w:highlight w:val="none"/>
        </w:rPr>
        <w:t>附件</w:t>
      </w:r>
      <w:r>
        <w:rPr>
          <w:rFonts w:hint="eastAsia" w:ascii="黑体" w:hAnsi="黑体" w:eastAsia="黑体" w:cs="黑体"/>
          <w:highlight w:val="none"/>
          <w:lang w:val="en-US" w:eastAsia="zh-CN"/>
        </w:rPr>
        <w:t>5</w:t>
      </w:r>
    </w:p>
    <w:p w14:paraId="6D10A856">
      <w:pPr>
        <w:keepNext w:val="0"/>
        <w:keepLines w:val="0"/>
        <w:pageBreakBefore w:val="0"/>
        <w:widowControl w:val="0"/>
        <w:kinsoku/>
        <w:wordWrap/>
        <w:overflowPunct/>
        <w:topLinePunct w:val="0"/>
        <w:autoSpaceDE/>
        <w:autoSpaceDN/>
        <w:bidi w:val="0"/>
        <w:adjustRightInd w:val="0"/>
        <w:snapToGrid w:val="0"/>
        <w:spacing w:line="570" w:lineRule="exact"/>
        <w:jc w:val="both"/>
        <w:textAlignment w:val="auto"/>
        <w:rPr>
          <w:rFonts w:hint="eastAsia" w:ascii="方正小标宋_GBK" w:hAnsi="方正小标宋_GBK" w:eastAsia="方正小标宋_GBK" w:cs="方正小标宋_GBK"/>
          <w:b w:val="0"/>
          <w:bCs w:val="0"/>
          <w:sz w:val="40"/>
          <w:szCs w:val="40"/>
          <w:lang w:val="en-US" w:eastAsia="zh-CN"/>
        </w:rPr>
      </w:pPr>
    </w:p>
    <w:p w14:paraId="2864D8BF">
      <w:pPr>
        <w:jc w:val="center"/>
        <w:rPr>
          <w:rFonts w:hint="eastAsia" w:ascii="方正小标宋_GBK" w:eastAsia="方正小标宋_GBK"/>
          <w:sz w:val="36"/>
          <w:szCs w:val="36"/>
        </w:rPr>
      </w:pPr>
      <w:r>
        <w:rPr>
          <w:rFonts w:hint="eastAsia" w:ascii="方正小标宋_GBK" w:eastAsia="方正小标宋_GBK"/>
          <w:sz w:val="36"/>
          <w:szCs w:val="36"/>
          <w:lang w:val="en-US" w:eastAsia="zh-CN"/>
        </w:rPr>
        <w:t>森林草原防灭火视频会议专线费用</w:t>
      </w:r>
      <w:r>
        <w:rPr>
          <w:rFonts w:hint="eastAsia" w:ascii="方正小标宋_GBK" w:eastAsia="方正小标宋_GBK"/>
          <w:sz w:val="36"/>
          <w:szCs w:val="36"/>
        </w:rPr>
        <w:t>项目绩效评估报告</w:t>
      </w:r>
    </w:p>
    <w:p w14:paraId="0BF79620">
      <w:pPr>
        <w:keepNext w:val="0"/>
        <w:keepLines w:val="0"/>
        <w:pageBreakBefore w:val="0"/>
        <w:widowControl w:val="0"/>
        <w:kinsoku/>
        <w:wordWrap/>
        <w:overflowPunct/>
        <w:topLinePunct w:val="0"/>
        <w:autoSpaceDE/>
        <w:autoSpaceDN/>
        <w:bidi w:val="0"/>
        <w:adjustRightInd w:val="0"/>
        <w:snapToGrid w:val="0"/>
        <w:spacing w:line="570" w:lineRule="exact"/>
        <w:textAlignment w:val="auto"/>
        <w:rPr>
          <w:rFonts w:hint="eastAsia" w:ascii="黑体" w:hAnsi="宋体" w:eastAsia="黑体"/>
          <w:highlight w:val="none"/>
        </w:rPr>
      </w:pPr>
    </w:p>
    <w:p w14:paraId="54428A6D">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ascii="黑体" w:hAnsi="宋体" w:eastAsia="黑体"/>
          <w:highlight w:val="none"/>
          <w:lang w:val="zh-CN"/>
        </w:rPr>
      </w:pPr>
      <w:r>
        <w:rPr>
          <w:rFonts w:hint="eastAsia" w:ascii="黑体" w:hAnsi="宋体" w:eastAsia="黑体"/>
          <w:highlight w:val="none"/>
        </w:rPr>
        <w:t>一、</w:t>
      </w:r>
      <w:r>
        <w:rPr>
          <w:rFonts w:hint="eastAsia" w:ascii="黑体" w:hAnsi="宋体" w:eastAsia="黑体"/>
          <w:highlight w:val="none"/>
          <w:lang w:val="zh-CN"/>
        </w:rPr>
        <w:t>项目概况</w:t>
      </w:r>
    </w:p>
    <w:p w14:paraId="40B1EFEB">
      <w:pPr>
        <w:ind w:firstLine="643" w:firstLineChars="200"/>
        <w:jc w:val="left"/>
        <w:rPr>
          <w:rFonts w:hint="default" w:ascii="仿宋_GB2312" w:eastAsia="仿宋_GB2312"/>
          <w:sz w:val="32"/>
          <w:szCs w:val="32"/>
          <w:lang w:val="en-US" w:eastAsia="zh-CN"/>
        </w:rPr>
      </w:pPr>
      <w:r>
        <w:rPr>
          <w:rFonts w:hint="eastAsia" w:ascii="楷体_GB2312" w:hAnsi="宋体" w:eastAsia="楷体_GB2312"/>
          <w:b/>
          <w:color w:val="auto"/>
          <w:sz w:val="32"/>
          <w:szCs w:val="32"/>
          <w:highlight w:val="none"/>
          <w:u w:val="none"/>
          <w:lang w:val="zh-CN"/>
        </w:rPr>
        <w:t>（一）设立背景及基本情况。</w:t>
      </w:r>
      <w:r>
        <w:rPr>
          <w:rFonts w:hint="eastAsia" w:ascii="仿宋_GB2312" w:eastAsia="仿宋_GB2312" w:cs="仿宋_GB2312"/>
          <w:color w:val="444444"/>
          <w:kern w:val="0"/>
          <w:sz w:val="32"/>
          <w:szCs w:val="32"/>
          <w:lang w:bidi="ar-SA"/>
        </w:rPr>
        <w:t>根据202</w:t>
      </w:r>
      <w:r>
        <w:rPr>
          <w:rFonts w:hint="eastAsia" w:ascii="仿宋_GB2312" w:cs="仿宋_GB2312"/>
          <w:color w:val="444444"/>
          <w:kern w:val="0"/>
          <w:sz w:val="32"/>
          <w:szCs w:val="32"/>
          <w:lang w:val="en-US" w:eastAsia="zh-CN" w:bidi="ar-SA"/>
        </w:rPr>
        <w:t>4</w:t>
      </w:r>
      <w:r>
        <w:rPr>
          <w:rFonts w:hint="eastAsia" w:ascii="仿宋_GB2312" w:eastAsia="仿宋_GB2312" w:cs="仿宋_GB2312"/>
          <w:color w:val="444444"/>
          <w:kern w:val="0"/>
          <w:sz w:val="32"/>
          <w:szCs w:val="32"/>
          <w:lang w:bidi="ar-SA"/>
        </w:rPr>
        <w:t>年州财政局下达我局</w:t>
      </w:r>
      <w:r>
        <w:rPr>
          <w:rFonts w:hint="eastAsia" w:ascii="仿宋_GB2312" w:cs="仿宋_GB2312"/>
          <w:color w:val="444444"/>
          <w:kern w:val="0"/>
          <w:sz w:val="32"/>
          <w:szCs w:val="32"/>
          <w:lang w:val="en-US" w:eastAsia="zh-CN" w:bidi="ar-SA"/>
        </w:rPr>
        <w:t>森林防火</w:t>
      </w:r>
      <w:r>
        <w:rPr>
          <w:rFonts w:hint="eastAsia" w:ascii="仿宋_GB2312" w:eastAsia="仿宋_GB2312" w:cs="仿宋_GB2312"/>
          <w:color w:val="444444"/>
          <w:kern w:val="0"/>
          <w:sz w:val="32"/>
          <w:szCs w:val="32"/>
          <w:lang w:bidi="ar-SA"/>
        </w:rPr>
        <w:t>项目</w:t>
      </w:r>
      <w:r>
        <w:rPr>
          <w:rFonts w:hint="eastAsia" w:ascii="仿宋_GB2312" w:cs="仿宋_GB2312"/>
          <w:color w:val="444444"/>
          <w:kern w:val="0"/>
          <w:sz w:val="32"/>
          <w:szCs w:val="32"/>
          <w:lang w:val="en-US" w:eastAsia="zh-CN" w:bidi="ar-SA"/>
        </w:rPr>
        <w:t>专项</w:t>
      </w:r>
      <w:r>
        <w:rPr>
          <w:rFonts w:hint="eastAsia" w:ascii="仿宋_GB2312" w:eastAsia="仿宋_GB2312" w:cs="仿宋_GB2312"/>
          <w:color w:val="444444"/>
          <w:kern w:val="0"/>
          <w:sz w:val="32"/>
          <w:szCs w:val="32"/>
          <w:lang w:bidi="ar-SA"/>
        </w:rPr>
        <w:t>资金4.8万元，用于</w:t>
      </w:r>
      <w:r>
        <w:rPr>
          <w:rFonts w:hint="eastAsia" w:ascii="仿宋_GB2312" w:cs="仿宋_GB2312"/>
          <w:color w:val="444444"/>
          <w:kern w:val="0"/>
          <w:sz w:val="32"/>
          <w:szCs w:val="32"/>
          <w:lang w:val="en-US" w:eastAsia="zh-CN" w:bidi="ar-SA"/>
        </w:rPr>
        <w:t>全年全州</w:t>
      </w:r>
      <w:r>
        <w:rPr>
          <w:rFonts w:hint="eastAsia" w:ascii="仿宋_GB2312" w:eastAsia="仿宋_GB2312" w:cs="仿宋_GB2312"/>
          <w:color w:val="444444"/>
          <w:kern w:val="0"/>
          <w:sz w:val="32"/>
          <w:szCs w:val="32"/>
          <w:lang w:bidi="ar-SA"/>
        </w:rPr>
        <w:t>森林草原防灭火视频会议专线</w:t>
      </w:r>
      <w:r>
        <w:rPr>
          <w:rFonts w:hint="eastAsia" w:ascii="仿宋_GB2312" w:cs="仿宋_GB2312"/>
          <w:color w:val="444444"/>
          <w:kern w:val="0"/>
          <w:sz w:val="32"/>
          <w:szCs w:val="32"/>
          <w:lang w:val="en-US" w:eastAsia="zh-CN" w:bidi="ar-SA"/>
        </w:rPr>
        <w:t>服务</w:t>
      </w:r>
      <w:r>
        <w:rPr>
          <w:rFonts w:hint="eastAsia" w:ascii="仿宋_GB2312" w:eastAsia="仿宋_GB2312" w:cs="仿宋_GB2312"/>
          <w:color w:val="444444"/>
          <w:kern w:val="0"/>
          <w:sz w:val="32"/>
          <w:szCs w:val="32"/>
          <w:lang w:bidi="ar-SA"/>
        </w:rPr>
        <w:t>费用。</w:t>
      </w:r>
      <w:r>
        <w:rPr>
          <w:rFonts w:hint="eastAsia" w:ascii="仿宋_GB2312" w:eastAsia="仿宋_GB2312"/>
          <w:sz w:val="32"/>
          <w:szCs w:val="32"/>
          <w:lang w:val="en-US" w:eastAsia="zh-CN"/>
        </w:rPr>
        <w:t>州林草局负责组织实施。</w:t>
      </w:r>
    </w:p>
    <w:p w14:paraId="66877FE3">
      <w:pPr>
        <w:spacing w:line="540" w:lineRule="exact"/>
        <w:ind w:firstLine="643" w:firstLineChars="200"/>
        <w:rPr>
          <w:rFonts w:hint="eastAsia" w:ascii="仿宋_GB2312" w:eastAsia="仿宋_GB2312" w:cs="仿宋_GB2312"/>
          <w:color w:val="444444"/>
          <w:kern w:val="0"/>
          <w:sz w:val="32"/>
          <w:szCs w:val="32"/>
          <w:lang w:val="en-US" w:eastAsia="zh-CN" w:bidi="ar-SA"/>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eastAsia="仿宋_GB2312" w:cs="仿宋_GB2312"/>
          <w:color w:val="444444"/>
          <w:kern w:val="0"/>
          <w:sz w:val="32"/>
          <w:szCs w:val="32"/>
          <w:lang w:val="en-US" w:eastAsia="zh-CN" w:bidi="ar-SA"/>
        </w:rPr>
        <w:t>在数字化时代的浪潮下，各行各业都在积极探索新的发展模式，以应对日益复杂多变的环境挑战。对于森林草原防灭火工作而言，传统的防控手段已难以满足现代管理的需求，因此，引入视频会议专线服务成为了</w:t>
      </w:r>
      <w:r>
        <w:rPr>
          <w:rFonts w:hint="eastAsia" w:ascii="仿宋_GB2312" w:cs="仿宋_GB2312"/>
          <w:color w:val="444444"/>
          <w:kern w:val="0"/>
          <w:sz w:val="32"/>
          <w:szCs w:val="32"/>
          <w:lang w:val="en-US" w:eastAsia="zh-CN" w:bidi="ar-SA"/>
        </w:rPr>
        <w:t>林草</w:t>
      </w:r>
      <w:r>
        <w:rPr>
          <w:rFonts w:hint="eastAsia" w:ascii="仿宋_GB2312" w:eastAsia="仿宋_GB2312" w:cs="仿宋_GB2312"/>
          <w:color w:val="444444"/>
          <w:kern w:val="0"/>
          <w:sz w:val="32"/>
          <w:szCs w:val="32"/>
          <w:lang w:val="en-US" w:eastAsia="zh-CN" w:bidi="ar-SA"/>
        </w:rPr>
        <w:t>行业</w:t>
      </w:r>
      <w:r>
        <w:rPr>
          <w:rFonts w:hint="eastAsia" w:ascii="仿宋_GB2312" w:cs="仿宋_GB2312"/>
          <w:color w:val="444444"/>
          <w:kern w:val="0"/>
          <w:sz w:val="32"/>
          <w:szCs w:val="32"/>
          <w:lang w:val="en-US" w:eastAsia="zh-CN" w:bidi="ar-SA"/>
        </w:rPr>
        <w:t>防灭火工作</w:t>
      </w:r>
      <w:r>
        <w:rPr>
          <w:rFonts w:hint="eastAsia" w:ascii="仿宋_GB2312" w:eastAsia="仿宋_GB2312" w:cs="仿宋_GB2312"/>
          <w:color w:val="444444"/>
          <w:kern w:val="0"/>
          <w:sz w:val="32"/>
          <w:szCs w:val="32"/>
          <w:lang w:val="en-US" w:eastAsia="zh-CN" w:bidi="ar-SA"/>
        </w:rPr>
        <w:t>创新的重要方向。</w:t>
      </w:r>
    </w:p>
    <w:p w14:paraId="1AECDF2D">
      <w:pPr>
        <w:ind w:firstLine="643" w:firstLineChars="200"/>
        <w:jc w:val="left"/>
        <w:rPr>
          <w:rFonts w:hint="default"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eastAsia="仿宋_GB2312" w:cs="仿宋_GB2312"/>
          <w:color w:val="444444"/>
          <w:kern w:val="0"/>
          <w:sz w:val="32"/>
          <w:szCs w:val="32"/>
          <w:lang w:bidi="ar-SA"/>
        </w:rPr>
        <w:t>根据202</w:t>
      </w:r>
      <w:r>
        <w:rPr>
          <w:rFonts w:hint="eastAsia" w:ascii="仿宋_GB2312" w:cs="仿宋_GB2312"/>
          <w:color w:val="444444"/>
          <w:kern w:val="0"/>
          <w:sz w:val="32"/>
          <w:szCs w:val="32"/>
          <w:lang w:val="en-US" w:eastAsia="zh-CN" w:bidi="ar-SA"/>
        </w:rPr>
        <w:t>4</w:t>
      </w:r>
      <w:r>
        <w:rPr>
          <w:rFonts w:hint="eastAsia" w:ascii="仿宋_GB2312" w:eastAsia="仿宋_GB2312" w:cs="仿宋_GB2312"/>
          <w:color w:val="444444"/>
          <w:kern w:val="0"/>
          <w:sz w:val="32"/>
          <w:szCs w:val="32"/>
          <w:lang w:bidi="ar-SA"/>
        </w:rPr>
        <w:t>年州财政局下达我局</w:t>
      </w:r>
      <w:r>
        <w:rPr>
          <w:rFonts w:hint="eastAsia" w:ascii="仿宋_GB2312" w:cs="仿宋_GB2312"/>
          <w:color w:val="444444"/>
          <w:kern w:val="0"/>
          <w:sz w:val="32"/>
          <w:szCs w:val="32"/>
          <w:lang w:val="en-US" w:eastAsia="zh-CN" w:bidi="ar-SA"/>
        </w:rPr>
        <w:t>森林防火</w:t>
      </w:r>
      <w:r>
        <w:rPr>
          <w:rFonts w:hint="eastAsia" w:ascii="仿宋_GB2312" w:eastAsia="仿宋_GB2312" w:cs="仿宋_GB2312"/>
          <w:color w:val="444444"/>
          <w:kern w:val="0"/>
          <w:sz w:val="32"/>
          <w:szCs w:val="32"/>
          <w:lang w:bidi="ar-SA"/>
        </w:rPr>
        <w:t>项目</w:t>
      </w:r>
      <w:r>
        <w:rPr>
          <w:rFonts w:hint="eastAsia" w:ascii="仿宋_GB2312" w:cs="仿宋_GB2312"/>
          <w:color w:val="444444"/>
          <w:kern w:val="0"/>
          <w:sz w:val="32"/>
          <w:szCs w:val="32"/>
          <w:lang w:val="en-US" w:eastAsia="zh-CN" w:bidi="ar-SA"/>
        </w:rPr>
        <w:t>专项</w:t>
      </w:r>
      <w:r>
        <w:rPr>
          <w:rFonts w:hint="eastAsia" w:ascii="仿宋_GB2312" w:eastAsia="仿宋_GB2312" w:cs="仿宋_GB2312"/>
          <w:color w:val="444444"/>
          <w:kern w:val="0"/>
          <w:sz w:val="32"/>
          <w:szCs w:val="32"/>
          <w:lang w:bidi="ar-SA"/>
        </w:rPr>
        <w:t>资金4.8万元，用于</w:t>
      </w:r>
      <w:r>
        <w:rPr>
          <w:rFonts w:hint="eastAsia" w:ascii="仿宋_GB2312" w:cs="仿宋_GB2312"/>
          <w:color w:val="444444"/>
          <w:kern w:val="0"/>
          <w:sz w:val="32"/>
          <w:szCs w:val="32"/>
          <w:lang w:val="en-US" w:eastAsia="zh-CN" w:bidi="ar-SA"/>
        </w:rPr>
        <w:t>全年全州</w:t>
      </w:r>
      <w:r>
        <w:rPr>
          <w:rFonts w:hint="eastAsia" w:ascii="仿宋_GB2312" w:eastAsia="仿宋_GB2312" w:cs="仿宋_GB2312"/>
          <w:color w:val="444444"/>
          <w:kern w:val="0"/>
          <w:sz w:val="32"/>
          <w:szCs w:val="32"/>
          <w:lang w:bidi="ar-SA"/>
        </w:rPr>
        <w:t>森林草原防灭火视频会议专线</w:t>
      </w:r>
      <w:r>
        <w:rPr>
          <w:rFonts w:hint="eastAsia" w:ascii="仿宋_GB2312" w:cs="仿宋_GB2312"/>
          <w:color w:val="444444"/>
          <w:kern w:val="0"/>
          <w:sz w:val="32"/>
          <w:szCs w:val="32"/>
          <w:lang w:val="en-US" w:eastAsia="zh-CN" w:bidi="ar-SA"/>
        </w:rPr>
        <w:t>服务</w:t>
      </w:r>
      <w:r>
        <w:rPr>
          <w:rFonts w:hint="eastAsia" w:ascii="仿宋_GB2312" w:eastAsia="仿宋_GB2312" w:cs="仿宋_GB2312"/>
          <w:color w:val="444444"/>
          <w:kern w:val="0"/>
          <w:sz w:val="32"/>
          <w:szCs w:val="32"/>
          <w:lang w:bidi="ar-SA"/>
        </w:rPr>
        <w:t>费用。</w:t>
      </w:r>
    </w:p>
    <w:p w14:paraId="319CB706">
      <w:pPr>
        <w:keepNext w:val="0"/>
        <w:keepLines w:val="0"/>
        <w:pageBreakBefore w:val="0"/>
        <w:widowControl/>
        <w:numPr>
          <w:ilvl w:val="0"/>
          <w:numId w:val="0"/>
        </w:numPr>
        <w:kinsoku/>
        <w:wordWrap/>
        <w:overflowPunct/>
        <w:topLinePunct w:val="0"/>
        <w:autoSpaceDE/>
        <w:autoSpaceDN/>
        <w:bidi w:val="0"/>
        <w:adjustRightInd w:val="0"/>
        <w:snapToGrid w:val="0"/>
        <w:spacing w:line="570" w:lineRule="exact"/>
        <w:ind w:left="0" w:leftChars="0" w:firstLine="643" w:firstLineChars="200"/>
        <w:contextualSpacing/>
        <w:jc w:val="left"/>
        <w:textAlignment w:val="auto"/>
        <w:rPr>
          <w:rFonts w:hint="eastAsia" w:ascii="仿宋_GB2312" w:eastAsia="仿宋_GB2312" w:cs="仿宋_GB2312"/>
          <w:sz w:val="32"/>
          <w:szCs w:val="32"/>
          <w:lang w:val="en-US" w:eastAsia="zh-CN" w:bidi="ar-SA"/>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eastAsia="仿宋_GB2312" w:cs="仿宋_GB2312"/>
          <w:sz w:val="32"/>
          <w:szCs w:val="32"/>
          <w:lang w:val="en-US" w:eastAsia="zh-CN" w:bidi="ar-SA"/>
        </w:rPr>
        <w:t>传统的面对面会议受限于场地、时间和交通等因素，往往效率低下，成本高昂。而</w:t>
      </w:r>
      <w:r>
        <w:rPr>
          <w:rFonts w:hint="eastAsia" w:ascii="仿宋_GB2312" w:cs="仿宋_GB2312"/>
          <w:sz w:val="32"/>
          <w:szCs w:val="32"/>
          <w:lang w:val="en-US" w:eastAsia="zh-CN" w:bidi="ar-SA"/>
        </w:rPr>
        <w:t>森林草原防灭火</w:t>
      </w:r>
      <w:r>
        <w:rPr>
          <w:rFonts w:hint="eastAsia" w:ascii="仿宋_GB2312" w:eastAsia="仿宋_GB2312" w:cs="仿宋_GB2312"/>
          <w:sz w:val="32"/>
          <w:szCs w:val="32"/>
          <w:lang w:val="en-US" w:eastAsia="zh-CN" w:bidi="ar-SA"/>
        </w:rPr>
        <w:t>视频会议系统通过互联网技术，实现了远程的实时交流。无论身处何地，只要有一台联网的设备，就能轻松参与会议，极大地节省了时间和金钱成本。此外，</w:t>
      </w:r>
      <w:r>
        <w:rPr>
          <w:rFonts w:hint="eastAsia" w:ascii="仿宋_GB2312" w:cs="仿宋_GB2312"/>
          <w:sz w:val="32"/>
          <w:szCs w:val="32"/>
          <w:lang w:val="en-US" w:eastAsia="zh-CN" w:bidi="ar-SA"/>
        </w:rPr>
        <w:t>森林草原防灭火</w:t>
      </w:r>
      <w:r>
        <w:rPr>
          <w:rFonts w:hint="eastAsia" w:ascii="仿宋_GB2312" w:eastAsia="仿宋_GB2312" w:cs="仿宋_GB2312"/>
          <w:sz w:val="32"/>
          <w:szCs w:val="32"/>
          <w:lang w:val="en-US" w:eastAsia="zh-CN" w:bidi="ar-SA"/>
        </w:rPr>
        <w:t>视频会议系统还打破了时间限制。参会者可以根据自己的时间安排，选择参加合适的会议时段，大大提高了工作的灵活性。</w:t>
      </w:r>
    </w:p>
    <w:p w14:paraId="2E7C28F0">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default" w:ascii="Times New Roman" w:hAnsi="Times New Roman" w:eastAsia="黑体" w:cs="Times New Roman"/>
          <w:highlight w:val="none"/>
          <w:lang w:eastAsia="zh-CN"/>
        </w:rPr>
      </w:pPr>
      <w:r>
        <w:rPr>
          <w:rFonts w:hint="default" w:ascii="Times New Roman" w:hAnsi="Times New Roman" w:eastAsia="黑体" w:cs="Times New Roman"/>
          <w:highlight w:val="none"/>
        </w:rPr>
        <w:t>二、</w:t>
      </w:r>
      <w:r>
        <w:rPr>
          <w:rFonts w:hint="default" w:ascii="Times New Roman" w:hAnsi="Times New Roman" w:eastAsia="黑体" w:cs="Times New Roman"/>
          <w:highlight w:val="none"/>
          <w:lang w:eastAsia="zh-CN"/>
        </w:rPr>
        <w:t>评价实施</w:t>
      </w:r>
    </w:p>
    <w:p w14:paraId="5D583828">
      <w:pPr>
        <w:ind w:left="0" w:firstLine="643" w:firstLineChars="200"/>
        <w:rPr>
          <w:rFonts w:hint="eastAsia"/>
          <w:lang w:val="en-US" w:eastAsia="zh-CN"/>
        </w:rPr>
      </w:pPr>
      <w:r>
        <w:rPr>
          <w:rFonts w:hint="default" w:ascii="Times New Roman" w:hAnsi="Times New Roman" w:eastAsia="楷体_GB2312" w:cs="Times New Roman"/>
          <w:b/>
          <w:color w:val="auto"/>
          <w:sz w:val="32"/>
          <w:szCs w:val="32"/>
          <w:highlight w:val="none"/>
          <w:u w:val="none"/>
          <w:lang w:val="zh-CN"/>
        </w:rPr>
        <w:t>（一）评价目的。</w:t>
      </w:r>
      <w:r>
        <w:rPr>
          <w:rFonts w:hint="eastAsia" w:ascii="仿宋_GB2312" w:eastAsia="仿宋_GB2312"/>
          <w:sz w:val="32"/>
          <w:szCs w:val="32"/>
        </w:rPr>
        <w:t>促进林草防火可持续性发展，并完成年度目标中发展工作任务。</w:t>
      </w:r>
    </w:p>
    <w:p w14:paraId="38AE1A3B">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43" w:firstLineChars="200"/>
        <w:textAlignment w:val="auto"/>
        <w:outlineLvl w:val="9"/>
        <w:rPr>
          <w:rFonts w:hint="eastAsia" w:cs="Times New Roman"/>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ascii="仿宋_GB2312" w:hAnsi="仿宋_GB2312" w:eastAsia="仿宋_GB2312" w:cs="仿宋_GB2312"/>
          <w:b w:val="0"/>
          <w:bCs/>
          <w:color w:val="auto"/>
          <w:sz w:val="32"/>
          <w:szCs w:val="32"/>
          <w:highlight w:val="none"/>
          <w:u w:val="none"/>
          <w:lang w:val="en-US" w:eastAsia="zh-CN"/>
        </w:rPr>
        <w:t>严格</w:t>
      </w:r>
      <w:r>
        <w:rPr>
          <w:rFonts w:hint="eastAsia" w:eastAsia="仿宋_GB2312" w:cs="Times New Roman"/>
          <w:szCs w:val="32"/>
        </w:rPr>
        <w:t>按照绩效评价指标体系，对资金支出使用全过程及其实施效果进行综合评价和判断</w:t>
      </w:r>
      <w:r>
        <w:rPr>
          <w:rFonts w:hint="eastAsia" w:eastAsia="仿宋_GB2312" w:cs="Times New Roman"/>
          <w:szCs w:val="32"/>
          <w:lang w:eastAsia="zh-CN"/>
        </w:rPr>
        <w:t>。</w:t>
      </w:r>
    </w:p>
    <w:p w14:paraId="0338D8C8">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43" w:firstLineChars="200"/>
        <w:textAlignment w:val="auto"/>
        <w:outlineLvl w:val="9"/>
        <w:rPr>
          <w:rFonts w:hint="default" w:cs="Times New Roman"/>
          <w:szCs w:val="32"/>
          <w:lang w:val="en-US" w:eastAsia="zh-CN"/>
        </w:rPr>
      </w:pPr>
      <w:r>
        <w:rPr>
          <w:rFonts w:hint="eastAsia" w:ascii="楷体_GB2312" w:hAnsi="宋体" w:eastAsia="楷体_GB2312"/>
          <w:b/>
          <w:color w:val="auto"/>
          <w:sz w:val="32"/>
          <w:szCs w:val="32"/>
          <w:highlight w:val="none"/>
          <w:u w:val="none"/>
          <w:lang w:val="zh-CN"/>
        </w:rPr>
        <w:t>（三）评价选点。</w:t>
      </w:r>
      <w:r>
        <w:rPr>
          <w:rFonts w:hint="eastAsia" w:ascii="仿宋_GB2312" w:hAnsi="仿宋_GB2312" w:cs="仿宋_GB2312"/>
          <w:b w:val="0"/>
          <w:bCs/>
          <w:color w:val="auto"/>
          <w:sz w:val="32"/>
          <w:szCs w:val="32"/>
          <w:highlight w:val="none"/>
          <w:u w:val="none"/>
          <w:lang w:val="en-US" w:eastAsia="zh-CN"/>
        </w:rPr>
        <w:t>马尔康市</w:t>
      </w:r>
    </w:p>
    <w:p w14:paraId="208C3E9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cs="仿宋_GB2312"/>
          <w:color w:val="auto"/>
          <w:highlight w:val="none"/>
          <w:lang w:val="zh-CN"/>
        </w:rPr>
      </w:pPr>
      <w:r>
        <w:rPr>
          <w:rFonts w:hint="eastAsia" w:ascii="楷体_GB2312" w:hAnsi="宋体" w:eastAsia="楷体_GB2312"/>
          <w:b/>
          <w:color w:val="auto"/>
          <w:sz w:val="32"/>
          <w:szCs w:val="32"/>
          <w:highlight w:val="none"/>
          <w:u w:val="none"/>
          <w:lang w:val="zh-CN"/>
        </w:rPr>
        <w:t>（四）评价方法。</w:t>
      </w:r>
      <w:r>
        <w:rPr>
          <w:rFonts w:ascii="仿宋_GB2312" w:eastAsia="仿宋_GB2312" w:cs="仿宋_GB2312"/>
          <w:color w:val="auto"/>
          <w:highlight w:val="none"/>
          <w:lang w:val="zh-CN"/>
        </w:rPr>
        <w:t>项目采取自评</w:t>
      </w:r>
      <w:r>
        <w:rPr>
          <w:rFonts w:hint="eastAsia" w:ascii="仿宋_GB2312" w:cs="仿宋_GB2312"/>
          <w:color w:val="auto"/>
          <w:highlight w:val="none"/>
          <w:lang w:val="zh-CN"/>
        </w:rPr>
        <w:t>的</w:t>
      </w:r>
      <w:r>
        <w:rPr>
          <w:rFonts w:ascii="仿宋_GB2312" w:eastAsia="仿宋_GB2312" w:cs="仿宋_GB2312"/>
          <w:color w:val="auto"/>
          <w:highlight w:val="none"/>
          <w:lang w:val="zh-CN"/>
        </w:rPr>
        <w:t>方式，结合评价内容，做到有计划</w:t>
      </w:r>
      <w:r>
        <w:rPr>
          <w:rFonts w:hint="eastAsia" w:ascii="仿宋_GB2312" w:eastAsia="仿宋_GB2312" w:cs="仿宋_GB2312"/>
          <w:color w:val="auto"/>
          <w:highlight w:val="none"/>
          <w:lang w:val="zh-CN"/>
        </w:rPr>
        <w:t>、</w:t>
      </w:r>
      <w:r>
        <w:rPr>
          <w:rFonts w:ascii="仿宋_GB2312" w:eastAsia="仿宋_GB2312" w:cs="仿宋_GB2312"/>
          <w:color w:val="auto"/>
          <w:highlight w:val="none"/>
          <w:lang w:val="zh-CN"/>
        </w:rPr>
        <w:t>有安排，扎实开展本次自评工作。按照项目支出绩效评价指标体系，对</w:t>
      </w:r>
      <w:r>
        <w:rPr>
          <w:rFonts w:hint="eastAsia" w:ascii="仿宋_GB2312" w:cs="仿宋_GB2312"/>
          <w:color w:val="auto"/>
          <w:highlight w:val="none"/>
          <w:lang w:val="en-US" w:eastAsia="zh-CN"/>
        </w:rPr>
        <w:t>建设</w:t>
      </w:r>
      <w:r>
        <w:rPr>
          <w:rFonts w:ascii="仿宋_GB2312" w:eastAsia="仿宋_GB2312" w:cs="仿宋_GB2312"/>
          <w:color w:val="auto"/>
          <w:highlight w:val="none"/>
          <w:lang w:val="zh-CN"/>
        </w:rPr>
        <w:t>内容、实施情况、资金兑现、财务管理、社会效益等做出自我评价</w:t>
      </w:r>
      <w:r>
        <w:rPr>
          <w:rFonts w:hint="eastAsia" w:ascii="仿宋_GB2312" w:cs="仿宋_GB2312"/>
          <w:color w:val="auto"/>
          <w:highlight w:val="none"/>
          <w:lang w:val="zh-CN"/>
        </w:rPr>
        <w:t>。</w:t>
      </w:r>
    </w:p>
    <w:p w14:paraId="4237531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bCs/>
          <w:lang w:val="en-US" w:eastAsia="zh-CN"/>
        </w:rPr>
      </w:pPr>
      <w:r>
        <w:rPr>
          <w:rFonts w:hint="eastAsia" w:ascii="楷体_GB2312" w:hAnsi="宋体" w:eastAsia="楷体_GB2312"/>
          <w:b/>
          <w:color w:val="auto"/>
          <w:sz w:val="32"/>
          <w:szCs w:val="32"/>
          <w:highlight w:val="none"/>
          <w:u w:val="none"/>
          <w:lang w:val="zh-CN"/>
        </w:rPr>
        <w:t>（五）评价组织。</w:t>
      </w:r>
      <w:r>
        <w:rPr>
          <w:rFonts w:hint="eastAsia" w:ascii="仿宋_GB2312" w:hAnsi="仿宋_GB2312" w:cs="仿宋_GB2312"/>
          <w:b w:val="0"/>
          <w:bCs/>
          <w:color w:val="auto"/>
          <w:sz w:val="32"/>
          <w:szCs w:val="32"/>
          <w:highlight w:val="none"/>
          <w:u w:val="none"/>
          <w:lang w:val="en-US" w:eastAsia="zh-CN"/>
        </w:rPr>
        <w:t>评价组人员构成和职责分工</w:t>
      </w:r>
      <w:r>
        <w:rPr>
          <w:rFonts w:ascii="仿宋_GB2312" w:eastAsia="仿宋_GB2312" w:cs="仿宋_GB2312"/>
          <w:color w:val="auto"/>
          <w:highlight w:val="none"/>
          <w:lang w:val="zh-CN"/>
        </w:rPr>
        <w:t>。</w:t>
      </w:r>
    </w:p>
    <w:p w14:paraId="0D9C3022">
      <w:pPr>
        <w:keepNext w:val="0"/>
        <w:keepLines w:val="0"/>
        <w:pageBreakBefore w:val="0"/>
        <w:kinsoku/>
        <w:wordWrap/>
        <w:overflowPunct/>
        <w:topLinePunct w:val="0"/>
        <w:autoSpaceDE/>
        <w:autoSpaceDN/>
        <w:bidi w:val="0"/>
        <w:adjustRightInd w:val="0"/>
        <w:snapToGrid w:val="0"/>
        <w:spacing w:line="570"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14:paraId="2A7F9A4C">
      <w:pPr>
        <w:keepNext w:val="0"/>
        <w:keepLines w:val="0"/>
        <w:pageBreakBefore w:val="0"/>
        <w:widowControl w:val="0"/>
        <w:kinsoku/>
        <w:wordWrap/>
        <w:overflowPunct/>
        <w:topLinePunct w:val="0"/>
        <w:autoSpaceDE/>
        <w:autoSpaceDN/>
        <w:bidi w:val="0"/>
        <w:spacing w:line="570" w:lineRule="exact"/>
        <w:ind w:firstLine="640"/>
        <w:textAlignment w:val="auto"/>
        <w:outlineLvl w:val="9"/>
        <w:rPr>
          <w:rFonts w:hint="eastAsia" w:eastAsia="仿宋_GB2312" w:cs="Times New Roman"/>
          <w:szCs w:val="32"/>
          <w:lang w:val="en-US" w:eastAsia="zh-CN"/>
        </w:rPr>
      </w:pPr>
      <w:r>
        <w:rPr>
          <w:rFonts w:hint="default" w:eastAsia="仿宋_GB2312" w:cs="Times New Roman"/>
          <w:szCs w:val="32"/>
          <w:lang w:val="zh-CN" w:eastAsia="zh-CN"/>
        </w:rPr>
        <w:t>根据</w:t>
      </w:r>
      <w:r>
        <w:rPr>
          <w:rFonts w:hint="eastAsia" w:eastAsia="仿宋_GB2312" w:cs="Times New Roman"/>
          <w:szCs w:val="32"/>
          <w:lang w:val="zh-CN" w:eastAsia="zh-CN"/>
        </w:rPr>
        <w:t>项目</w:t>
      </w:r>
      <w:r>
        <w:rPr>
          <w:rFonts w:hint="default" w:eastAsia="仿宋_GB2312" w:cs="Times New Roman"/>
          <w:szCs w:val="32"/>
          <w:lang w:val="zh-CN" w:eastAsia="zh-CN"/>
        </w:rPr>
        <w:t>预算绩效评价指标体系“</w:t>
      </w:r>
      <w:r>
        <w:rPr>
          <w:rFonts w:hint="eastAsia" w:eastAsia="仿宋_GB2312" w:cs="Times New Roman"/>
          <w:szCs w:val="32"/>
          <w:lang w:val="zh-CN" w:eastAsia="zh-CN"/>
        </w:rPr>
        <w:t>通用指标</w:t>
      </w:r>
      <w:r>
        <w:rPr>
          <w:rFonts w:hint="default" w:eastAsia="仿宋_GB2312" w:cs="Times New Roman"/>
          <w:szCs w:val="32"/>
          <w:lang w:val="zh-CN" w:eastAsia="zh-CN"/>
        </w:rPr>
        <w:t>”</w:t>
      </w:r>
      <w:r>
        <w:rPr>
          <w:rFonts w:hint="eastAsia" w:eastAsia="仿宋_GB2312" w:cs="Times New Roman"/>
          <w:szCs w:val="32"/>
          <w:lang w:val="zh-CN" w:eastAsia="zh-CN"/>
        </w:rPr>
        <w:t>“专用指标”“个性指标”</w:t>
      </w:r>
      <w:r>
        <w:rPr>
          <w:rFonts w:hint="default" w:eastAsia="仿宋_GB2312" w:cs="Times New Roman"/>
          <w:szCs w:val="32"/>
          <w:lang w:val="zh-CN" w:eastAsia="zh-CN"/>
        </w:rPr>
        <w:t>涉及</w:t>
      </w:r>
      <w:r>
        <w:rPr>
          <w:rFonts w:hint="eastAsia" w:eastAsia="仿宋_GB2312" w:cs="Times New Roman"/>
          <w:szCs w:val="32"/>
          <w:lang w:val="zh-CN" w:eastAsia="zh-CN"/>
        </w:rPr>
        <w:t>二、三级</w:t>
      </w:r>
      <w:r>
        <w:rPr>
          <w:rFonts w:hint="default" w:eastAsia="仿宋_GB2312" w:cs="Times New Roman"/>
          <w:szCs w:val="32"/>
          <w:lang w:val="zh-CN" w:eastAsia="zh-CN"/>
        </w:rPr>
        <w:t>指标进行</w:t>
      </w:r>
      <w:r>
        <w:rPr>
          <w:rFonts w:hint="eastAsia" w:eastAsia="仿宋_GB2312" w:cs="Times New Roman"/>
          <w:szCs w:val="32"/>
          <w:lang w:val="zh-CN" w:eastAsia="zh-CN"/>
        </w:rPr>
        <w:t>逐项</w:t>
      </w:r>
      <w:r>
        <w:rPr>
          <w:rFonts w:hint="default" w:eastAsia="仿宋_GB2312" w:cs="Times New Roman"/>
          <w:szCs w:val="32"/>
          <w:lang w:val="zh-CN" w:eastAsia="zh-CN"/>
        </w:rPr>
        <w:t>绩效分析</w:t>
      </w:r>
      <w:r>
        <w:rPr>
          <w:rFonts w:hint="eastAsia" w:cs="Times New Roman"/>
          <w:szCs w:val="32"/>
          <w:lang w:val="en-US" w:eastAsia="zh-CN"/>
        </w:rPr>
        <w:t>进行</w:t>
      </w:r>
      <w:r>
        <w:rPr>
          <w:rFonts w:hint="eastAsia" w:eastAsia="仿宋_GB2312" w:cs="Times New Roman"/>
          <w:szCs w:val="32"/>
          <w:lang w:val="zh-CN" w:eastAsia="zh-CN"/>
        </w:rPr>
        <w:t>评分</w:t>
      </w:r>
      <w:r>
        <w:rPr>
          <w:rFonts w:hint="eastAsia" w:cs="Times New Roman"/>
          <w:szCs w:val="32"/>
          <w:lang w:val="en-US" w:eastAsia="zh-CN"/>
        </w:rPr>
        <w:t>。</w:t>
      </w:r>
    </w:p>
    <w:p w14:paraId="298E2273">
      <w:pPr>
        <w:keepNext w:val="0"/>
        <w:keepLines w:val="0"/>
        <w:pageBreakBefore w:val="0"/>
        <w:widowControl w:val="0"/>
        <w:kinsoku/>
        <w:wordWrap/>
        <w:overflowPunct/>
        <w:topLinePunct w:val="0"/>
        <w:autoSpaceDE/>
        <w:autoSpaceDN/>
        <w:bidi w:val="0"/>
        <w:adjustRightInd/>
        <w:snapToGrid/>
        <w:spacing w:line="57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Cs w:val="32"/>
          <w:highlight w:val="none"/>
          <w:shd w:val="clear" w:color="auto" w:fill="FFFFFF"/>
          <w:lang w:val="zh-CN"/>
        </w:rPr>
        <w:t>绩效分析。</w:t>
      </w:r>
    </w:p>
    <w:p w14:paraId="1BE69997">
      <w:pPr>
        <w:keepNext w:val="0"/>
        <w:keepLines w:val="0"/>
        <w:pageBreakBefore w:val="0"/>
        <w:widowControl w:val="0"/>
        <w:kinsoku/>
        <w:wordWrap/>
        <w:overflowPunct/>
        <w:topLinePunct w:val="0"/>
        <w:autoSpaceDE/>
        <w:autoSpaceDN/>
        <w:bidi w:val="0"/>
        <w:adjustRightInd/>
        <w:snapToGrid/>
        <w:spacing w:line="570" w:lineRule="exact"/>
        <w:ind w:firstLine="640"/>
        <w:textAlignment w:val="auto"/>
        <w:outlineLvl w:val="9"/>
        <w:rPr>
          <w:rFonts w:hint="eastAsia" w:ascii="仿宋_GB2312" w:hAnsi="Times New Roman" w:cs="仿宋_GB2312"/>
          <w:color w:val="auto"/>
          <w:highlight w:val="none"/>
          <w:lang w:val="en-US" w:eastAsia="zh-CN"/>
        </w:rPr>
      </w:pPr>
      <w:r>
        <w:rPr>
          <w:rFonts w:hint="eastAsia" w:ascii="仿宋_GB2312" w:hAnsi="Times New Roman" w:eastAsia="仿宋_GB2312" w:cs="仿宋_GB2312"/>
          <w:color w:val="auto"/>
          <w:highlight w:val="none"/>
          <w:lang w:val="en-US" w:eastAsia="zh-CN"/>
        </w:rPr>
        <w:t>1.项目决策。</w:t>
      </w:r>
      <w:r>
        <w:rPr>
          <w:rFonts w:hint="eastAsia" w:ascii="Times New Roman" w:hAnsi="Times New Roman" w:cs="Times New Roman"/>
          <w:color w:val="auto"/>
          <w:szCs w:val="32"/>
          <w:lang w:eastAsia="zh-CN"/>
        </w:rPr>
        <w:t>项目设立、调整延续等方面符合资金管理基本规范和决策程序要求。项目</w:t>
      </w:r>
      <w:r>
        <w:rPr>
          <w:rFonts w:hint="eastAsia" w:cs="Times New Roman"/>
          <w:color w:val="auto"/>
          <w:szCs w:val="32"/>
          <w:lang w:eastAsia="zh-CN"/>
        </w:rPr>
        <w:t>为</w:t>
      </w:r>
      <w:r>
        <w:rPr>
          <w:rFonts w:hint="eastAsia" w:cs="Times New Roman"/>
          <w:color w:val="auto"/>
          <w:szCs w:val="32"/>
          <w:lang w:val="en-US" w:eastAsia="zh-CN"/>
        </w:rPr>
        <w:t>州财政局</w:t>
      </w:r>
      <w:r>
        <w:rPr>
          <w:rFonts w:hint="eastAsia" w:cs="Times New Roman"/>
          <w:color w:val="auto"/>
          <w:szCs w:val="32"/>
          <w:lang w:eastAsia="zh-CN"/>
        </w:rPr>
        <w:t>直接下达，</w:t>
      </w:r>
      <w:r>
        <w:rPr>
          <w:rFonts w:hint="eastAsia" w:ascii="Times New Roman" w:hAnsi="Times New Roman" w:cs="Times New Roman"/>
          <w:color w:val="auto"/>
          <w:szCs w:val="32"/>
          <w:lang w:eastAsia="zh-CN"/>
        </w:rPr>
        <w:t>规划符合</w:t>
      </w:r>
      <w:r>
        <w:rPr>
          <w:rFonts w:hint="eastAsia" w:ascii="Times New Roman" w:hAnsi="Times New Roman" w:cs="Times New Roman"/>
          <w:color w:val="auto"/>
          <w:szCs w:val="32"/>
          <w:lang w:val="en-US" w:eastAsia="zh-CN"/>
        </w:rPr>
        <w:t>上级</w:t>
      </w:r>
      <w:r>
        <w:rPr>
          <w:rFonts w:hint="eastAsia" w:ascii="Times New Roman" w:hAnsi="Times New Roman" w:cs="Times New Roman"/>
          <w:color w:val="auto"/>
          <w:szCs w:val="32"/>
          <w:lang w:eastAsia="zh-CN"/>
        </w:rPr>
        <w:t>有关决策部署安排</w:t>
      </w:r>
      <w:r>
        <w:rPr>
          <w:rFonts w:hint="eastAsia" w:cs="Times New Roman"/>
          <w:color w:val="auto"/>
          <w:szCs w:val="32"/>
          <w:lang w:eastAsia="zh-CN"/>
        </w:rPr>
        <w:t>，</w:t>
      </w:r>
      <w:r>
        <w:rPr>
          <w:rFonts w:hint="eastAsia" w:ascii="Times New Roman" w:hAnsi="Times New Roman" w:cs="Times New Roman"/>
          <w:color w:val="auto"/>
          <w:szCs w:val="32"/>
          <w:lang w:eastAsia="zh-CN"/>
        </w:rPr>
        <w:t>项目</w:t>
      </w:r>
      <w:r>
        <w:rPr>
          <w:rFonts w:hint="eastAsia" w:cs="Times New Roman"/>
          <w:color w:val="auto"/>
          <w:szCs w:val="32"/>
          <w:lang w:eastAsia="zh-CN"/>
        </w:rPr>
        <w:t>具有</w:t>
      </w:r>
      <w:r>
        <w:rPr>
          <w:rFonts w:hint="eastAsia" w:ascii="Times New Roman" w:hAnsi="Times New Roman" w:cs="Times New Roman"/>
          <w:color w:val="auto"/>
          <w:szCs w:val="32"/>
          <w:lang w:eastAsia="zh-CN"/>
        </w:rPr>
        <w:t>必要性、前瞻性、合理性和可行性</w:t>
      </w:r>
      <w:r>
        <w:rPr>
          <w:rFonts w:hint="eastAsia" w:cs="Times New Roman"/>
          <w:color w:val="auto"/>
          <w:szCs w:val="32"/>
          <w:lang w:eastAsia="zh-CN"/>
        </w:rPr>
        <w:t>，</w:t>
      </w:r>
      <w:r>
        <w:rPr>
          <w:rFonts w:hint="eastAsia" w:ascii="Times New Roman" w:hAnsi="Times New Roman" w:cs="Times New Roman"/>
          <w:color w:val="auto"/>
          <w:szCs w:val="32"/>
          <w:lang w:eastAsia="zh-CN"/>
        </w:rPr>
        <w:t>总体绩效目标设置合理，绩效目标科学合理、规范完整、量化细化，与预算匹配。</w:t>
      </w:r>
      <w:r>
        <w:rPr>
          <w:rFonts w:hint="eastAsia" w:cs="Times New Roman"/>
          <w:color w:val="auto"/>
          <w:szCs w:val="32"/>
          <w:lang w:eastAsia="zh-CN"/>
        </w:rPr>
        <w:t>项目</w:t>
      </w:r>
      <w:r>
        <w:rPr>
          <w:rFonts w:hint="eastAsia" w:ascii="Times New Roman" w:hAnsi="Times New Roman" w:cs="Times New Roman"/>
          <w:color w:val="auto"/>
          <w:szCs w:val="32"/>
          <w:lang w:eastAsia="zh-CN"/>
        </w:rPr>
        <w:t>属于政府支持范围，且符合财政事权支出责任划分规定；资金投向与项目总体规划、相关行业事业发展相匹配；</w:t>
      </w:r>
      <w:r>
        <w:rPr>
          <w:rFonts w:hint="eastAsia" w:cs="Times New Roman"/>
          <w:color w:val="auto"/>
          <w:szCs w:val="32"/>
          <w:lang w:eastAsia="zh-CN"/>
        </w:rPr>
        <w:t>项目为上级部门统筹下达，属于</w:t>
      </w:r>
      <w:r>
        <w:rPr>
          <w:rFonts w:hint="eastAsia" w:ascii="Times New Roman" w:hAnsi="Times New Roman" w:cs="Times New Roman"/>
          <w:color w:val="auto"/>
          <w:szCs w:val="32"/>
          <w:lang w:eastAsia="zh-CN"/>
        </w:rPr>
        <w:t>聚焦重点领域</w:t>
      </w:r>
      <w:r>
        <w:rPr>
          <w:rFonts w:hint="eastAsia" w:cs="Times New Roman"/>
          <w:color w:val="auto"/>
          <w:szCs w:val="32"/>
          <w:lang w:eastAsia="zh-CN"/>
        </w:rPr>
        <w:t>的项目</w:t>
      </w:r>
      <w:r>
        <w:rPr>
          <w:rFonts w:hint="eastAsia" w:ascii="Times New Roman" w:hAnsi="Times New Roman" w:cs="Times New Roman"/>
          <w:color w:val="auto"/>
          <w:szCs w:val="32"/>
          <w:lang w:eastAsia="zh-CN"/>
        </w:rPr>
        <w:t>，体现</w:t>
      </w:r>
      <w:r>
        <w:rPr>
          <w:rFonts w:hint="eastAsia" w:cs="Times New Roman"/>
          <w:color w:val="auto"/>
          <w:szCs w:val="32"/>
          <w:lang w:eastAsia="zh-CN"/>
        </w:rPr>
        <w:t>了</w:t>
      </w:r>
      <w:r>
        <w:rPr>
          <w:rFonts w:hint="eastAsia" w:ascii="Times New Roman" w:hAnsi="Times New Roman" w:cs="Times New Roman"/>
          <w:color w:val="auto"/>
          <w:szCs w:val="32"/>
          <w:lang w:eastAsia="zh-CN"/>
        </w:rPr>
        <w:t>“集中财力办大事”原则；未与其他同类项目或部门内部相关项目交叉重复。</w:t>
      </w:r>
      <w:r>
        <w:rPr>
          <w:rFonts w:hint="eastAsia" w:ascii="仿宋_GB2312" w:hAnsi="Times New Roman" w:cs="仿宋_GB2312"/>
          <w:color w:val="auto"/>
          <w:highlight w:val="none"/>
          <w:lang w:val="en-US" w:eastAsia="zh-CN"/>
        </w:rPr>
        <w:t xml:space="preserve">       </w:t>
      </w:r>
    </w:p>
    <w:p w14:paraId="7070C2A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Times New Roman" w:eastAsia="仿宋_GB2312" w:cs="仿宋_GB2312"/>
          <w:color w:val="auto"/>
          <w:highlight w:val="none"/>
          <w:lang w:val="en-US" w:eastAsia="zh-CN"/>
        </w:rPr>
      </w:pPr>
      <w:r>
        <w:rPr>
          <w:rFonts w:hint="eastAsia" w:ascii="仿宋_GB2312" w:hAnsi="Times New Roman" w:eastAsia="仿宋_GB2312" w:cs="仿宋_GB2312"/>
          <w:color w:val="auto"/>
          <w:highlight w:val="none"/>
          <w:lang w:val="en-US" w:eastAsia="zh-CN"/>
        </w:rPr>
        <w:t>2.项目管理。</w:t>
      </w:r>
      <w:r>
        <w:rPr>
          <w:rFonts w:ascii="仿宋_GB2312" w:eastAsia="仿宋_GB2312" w:cs="仿宋_GB2312"/>
          <w:color w:val="auto"/>
          <w:highlight w:val="none"/>
          <w:lang w:val="en-US"/>
        </w:rPr>
        <w:t>项目严格按照</w:t>
      </w:r>
      <w:r>
        <w:rPr>
          <w:rFonts w:hint="eastAsia" w:ascii="仿宋_GB2312" w:eastAsia="仿宋_GB2312" w:cs="仿宋_GB2312"/>
          <w:color w:val="auto"/>
          <w:highlight w:val="none"/>
          <w:lang w:val="en-US" w:eastAsia="zh-CN"/>
        </w:rPr>
        <w:t>《政府投资条例》</w:t>
      </w:r>
      <w:r>
        <w:rPr>
          <w:rFonts w:ascii="仿宋_GB2312" w:eastAsia="仿宋_GB2312" w:cs="仿宋_GB2312"/>
          <w:color w:val="auto"/>
          <w:highlight w:val="none"/>
          <w:lang w:val="en-US"/>
        </w:rPr>
        <w:t>《四川省森林草原防灭火基础设施建设省预算内投资专项管理办法》</w:t>
      </w:r>
      <w:r>
        <w:rPr>
          <w:rFonts w:hint="eastAsia" w:ascii="仿宋_GB2312" w:eastAsia="仿宋_GB2312" w:cs="仿宋_GB2312"/>
          <w:color w:val="auto"/>
          <w:highlight w:val="none"/>
          <w:lang w:val="en-US" w:eastAsia="zh-CN"/>
        </w:rPr>
        <w:t>《</w:t>
      </w:r>
      <w:r>
        <w:rPr>
          <w:rFonts w:ascii="仿宋_GB2312" w:eastAsia="仿宋_GB2312" w:cs="仿宋_GB2312"/>
          <w:color w:val="auto"/>
          <w:highlight w:val="none"/>
          <w:lang w:val="en-US" w:eastAsia="zh-CN"/>
        </w:rPr>
        <w:t>四川省发展和改革委员会关于印发中央和省预算内投资项目事中事后监管办法的通知</w:t>
      </w:r>
      <w:r>
        <w:rPr>
          <w:rFonts w:hint="eastAsia" w:ascii="仿宋_GB2312" w:eastAsia="仿宋_GB2312" w:cs="仿宋_GB2312"/>
          <w:color w:val="auto"/>
          <w:highlight w:val="none"/>
          <w:lang w:val="en-US" w:eastAsia="zh-CN"/>
        </w:rPr>
        <w:t>》</w:t>
      </w:r>
      <w:r>
        <w:rPr>
          <w:rFonts w:ascii="仿宋_GB2312" w:eastAsia="仿宋_GB2312" w:cs="仿宋_GB2312"/>
          <w:color w:val="auto"/>
          <w:highlight w:val="none"/>
          <w:lang w:val="en-US"/>
        </w:rPr>
        <w:t>等有关规定，认真组织实施，</w:t>
      </w:r>
      <w:r>
        <w:rPr>
          <w:rFonts w:hint="eastAsia" w:ascii="仿宋_GB2312" w:cs="仿宋_GB2312"/>
          <w:color w:val="auto"/>
          <w:highlight w:val="none"/>
          <w:lang w:val="en-US" w:eastAsia="zh-CN"/>
        </w:rPr>
        <w:t>强化</w:t>
      </w:r>
      <w:r>
        <w:rPr>
          <w:rFonts w:ascii="仿宋_GB2312" w:eastAsia="仿宋_GB2312" w:cs="仿宋_GB2312"/>
          <w:color w:val="auto"/>
          <w:highlight w:val="none"/>
          <w:lang w:val="en-US"/>
        </w:rPr>
        <w:t>项目管理和运行管护。一是严格按照</w:t>
      </w:r>
      <w:r>
        <w:rPr>
          <w:rFonts w:hint="eastAsia" w:ascii="仿宋_GB2312" w:cs="仿宋_GB2312"/>
          <w:color w:val="auto"/>
          <w:highlight w:val="none"/>
          <w:lang w:val="en-US" w:eastAsia="zh-CN"/>
        </w:rPr>
        <w:t>下达计划内容</w:t>
      </w:r>
      <w:r>
        <w:rPr>
          <w:rFonts w:ascii="仿宋_GB2312" w:eastAsia="仿宋_GB2312" w:cs="仿宋_GB2312"/>
          <w:color w:val="auto"/>
          <w:highlight w:val="none"/>
          <w:lang w:val="en-US"/>
        </w:rPr>
        <w:t>进行建设，确保所需预算内投资足额及时到位。二是严格落实项目（法人）单位及项目责任人、日常监管直接责任单位及监管责任人制度和项目实施地监管责任，建立工作机制，制定监管计划。三是及时准确</w:t>
      </w:r>
      <w:r>
        <w:rPr>
          <w:rFonts w:hint="eastAsia" w:ascii="仿宋_GB2312" w:cs="仿宋_GB2312"/>
          <w:color w:val="auto"/>
          <w:highlight w:val="none"/>
          <w:lang w:val="en-US" w:eastAsia="zh-CN"/>
        </w:rPr>
        <w:t>掌握</w:t>
      </w:r>
      <w:r>
        <w:rPr>
          <w:rFonts w:ascii="仿宋_GB2312" w:eastAsia="仿宋_GB2312" w:cs="仿宋_GB2312"/>
          <w:color w:val="auto"/>
          <w:highlight w:val="none"/>
          <w:lang w:val="en-US"/>
        </w:rPr>
        <w:t>项目开工建设情况、投资完成、工程形象进度等数据</w:t>
      </w:r>
      <w:r>
        <w:rPr>
          <w:rFonts w:hint="eastAsia" w:ascii="仿宋_GB2312" w:cs="仿宋_GB2312"/>
          <w:color w:val="auto"/>
          <w:highlight w:val="none"/>
          <w:lang w:val="en-US" w:eastAsia="zh-CN"/>
        </w:rPr>
        <w:t>，加强项目监督。</w:t>
      </w:r>
    </w:p>
    <w:p w14:paraId="4929AAD9">
      <w:pPr>
        <w:pStyle w:val="2"/>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Times New Roman" w:eastAsia="仿宋_GB2312" w:cs="仿宋_GB2312"/>
          <w:color w:val="auto"/>
          <w:kern w:val="2"/>
          <w:position w:val="0"/>
          <w:sz w:val="32"/>
          <w:szCs w:val="32"/>
          <w:highlight w:val="none"/>
          <w:lang w:val="en-US" w:eastAsia="zh-CN" w:bidi="ar-SA"/>
        </w:rPr>
      </w:pPr>
      <w:r>
        <w:rPr>
          <w:rFonts w:hint="eastAsia" w:ascii="仿宋_GB2312" w:hAnsi="Times New Roman" w:eastAsia="仿宋_GB2312" w:cs="仿宋_GB2312"/>
          <w:color w:val="auto"/>
          <w:kern w:val="2"/>
          <w:position w:val="0"/>
          <w:sz w:val="32"/>
          <w:szCs w:val="32"/>
          <w:highlight w:val="none"/>
          <w:lang w:val="en-US" w:eastAsia="zh-CN" w:bidi="ar-SA"/>
        </w:rPr>
        <w:t>3.项目实施。资金到位</w:t>
      </w:r>
      <w:r>
        <w:rPr>
          <w:rFonts w:hint="eastAsia" w:ascii="仿宋_GB2312" w:eastAsia="仿宋_GB2312" w:cs="仿宋_GB2312"/>
          <w:color w:val="auto"/>
          <w:kern w:val="2"/>
          <w:position w:val="0"/>
          <w:sz w:val="32"/>
          <w:szCs w:val="32"/>
          <w:highlight w:val="none"/>
          <w:lang w:val="en-US" w:eastAsia="zh-CN" w:bidi="ar-SA"/>
        </w:rPr>
        <w:t>4.8</w:t>
      </w:r>
      <w:r>
        <w:rPr>
          <w:rFonts w:hint="eastAsia" w:ascii="仿宋_GB2312" w:hAnsi="Times New Roman" w:eastAsia="仿宋_GB2312" w:cs="仿宋_GB2312"/>
          <w:color w:val="auto"/>
          <w:kern w:val="2"/>
          <w:position w:val="0"/>
          <w:sz w:val="32"/>
          <w:szCs w:val="32"/>
          <w:highlight w:val="none"/>
          <w:lang w:val="en-US" w:eastAsia="zh-CN" w:bidi="ar-SA"/>
        </w:rPr>
        <w:t>万元，到位率100%。阿坝州林草局委托</w:t>
      </w:r>
      <w:r>
        <w:rPr>
          <w:rFonts w:hint="eastAsia" w:ascii="仿宋_GB2312" w:eastAsia="仿宋_GB2312" w:cs="仿宋_GB2312"/>
          <w:color w:val="auto"/>
          <w:kern w:val="2"/>
          <w:position w:val="0"/>
          <w:sz w:val="32"/>
          <w:szCs w:val="32"/>
          <w:highlight w:val="none"/>
          <w:lang w:val="en-US" w:eastAsia="zh-CN" w:bidi="ar-SA"/>
        </w:rPr>
        <w:t>阿坝州电信公司为</w:t>
      </w:r>
      <w:r>
        <w:rPr>
          <w:rFonts w:hint="eastAsia" w:ascii="仿宋_GB2312" w:hAnsi="Times New Roman" w:eastAsia="仿宋_GB2312" w:cs="仿宋_GB2312"/>
          <w:color w:val="auto"/>
          <w:kern w:val="2"/>
          <w:position w:val="0"/>
          <w:sz w:val="32"/>
          <w:szCs w:val="32"/>
          <w:highlight w:val="none"/>
          <w:lang w:val="en-US" w:eastAsia="zh-CN" w:bidi="ar-SA"/>
        </w:rPr>
        <w:t>供应商，</w:t>
      </w:r>
      <w:r>
        <w:rPr>
          <w:rFonts w:hint="eastAsia" w:ascii="仿宋_GB2312" w:eastAsia="仿宋_GB2312" w:cs="仿宋_GB2312"/>
          <w:color w:val="auto"/>
          <w:kern w:val="2"/>
          <w:position w:val="0"/>
          <w:sz w:val="32"/>
          <w:szCs w:val="32"/>
          <w:highlight w:val="none"/>
          <w:lang w:val="en-US" w:eastAsia="zh-CN" w:bidi="ar-SA"/>
        </w:rPr>
        <w:t>全年森林草原防灭火视频会议系统服务费为4.8</w:t>
      </w:r>
      <w:r>
        <w:rPr>
          <w:rFonts w:hint="eastAsia" w:ascii="仿宋_GB2312" w:hAnsi="Times New Roman" w:eastAsia="仿宋_GB2312" w:cs="仿宋_GB2312"/>
          <w:color w:val="auto"/>
          <w:kern w:val="2"/>
          <w:position w:val="0"/>
          <w:sz w:val="32"/>
          <w:szCs w:val="32"/>
          <w:highlight w:val="none"/>
          <w:lang w:val="en-US" w:eastAsia="zh-CN" w:bidi="ar-SA"/>
        </w:rPr>
        <w:t>万元</w:t>
      </w:r>
      <w:r>
        <w:rPr>
          <w:rFonts w:hint="eastAsia" w:ascii="仿宋_GB2312" w:eastAsia="仿宋_GB2312" w:cs="仿宋_GB2312"/>
          <w:color w:val="auto"/>
          <w:kern w:val="2"/>
          <w:position w:val="0"/>
          <w:sz w:val="32"/>
          <w:szCs w:val="32"/>
          <w:highlight w:val="none"/>
          <w:lang w:val="en-US" w:eastAsia="zh-CN" w:bidi="ar-SA"/>
        </w:rPr>
        <w:t>，每个月4000元</w:t>
      </w:r>
      <w:r>
        <w:rPr>
          <w:rFonts w:hint="eastAsia" w:ascii="仿宋_GB2312" w:hAnsi="Times New Roman" w:eastAsia="仿宋_GB2312" w:cs="仿宋_GB2312"/>
          <w:color w:val="auto"/>
          <w:kern w:val="2"/>
          <w:position w:val="0"/>
          <w:sz w:val="32"/>
          <w:szCs w:val="32"/>
          <w:highlight w:val="none"/>
          <w:lang w:val="en-US" w:eastAsia="zh-CN" w:bidi="ar-SA"/>
        </w:rPr>
        <w:t>。资金使用、拨付符合国家财经法规、财务管理制度及有关专项资金管理制度办法规定和审批程序，不存在超范围、超标准、超进度使用专项资金，不存在资金损失浪费、长期沉淀、截留、挤占、挪用、虚列支出等情况，项目实施严格遵守相关法律法规。</w:t>
      </w:r>
    </w:p>
    <w:p w14:paraId="61D195E2">
      <w:pPr>
        <w:pStyle w:val="2"/>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Times New Roman" w:eastAsia="仿宋_GB2312" w:cs="仿宋_GB2312"/>
          <w:color w:val="auto"/>
          <w:kern w:val="2"/>
          <w:position w:val="0"/>
          <w:sz w:val="32"/>
          <w:szCs w:val="32"/>
          <w:highlight w:val="none"/>
          <w:lang w:val="en-US" w:eastAsia="zh-CN" w:bidi="ar-SA"/>
        </w:rPr>
      </w:pPr>
      <w:r>
        <w:rPr>
          <w:rFonts w:hint="eastAsia" w:ascii="仿宋_GB2312" w:hAnsi="Times New Roman" w:eastAsia="仿宋_GB2312" w:cs="仿宋_GB2312"/>
          <w:color w:val="auto"/>
          <w:kern w:val="2"/>
          <w:position w:val="0"/>
          <w:sz w:val="32"/>
          <w:szCs w:val="32"/>
          <w:highlight w:val="none"/>
          <w:lang w:val="en-US" w:eastAsia="zh-CN" w:bidi="ar-SA"/>
        </w:rPr>
        <w:t>4.项目结果。项目完成预期目标，实施结果与绩效目标相匹配。</w:t>
      </w:r>
    </w:p>
    <w:p w14:paraId="19E4BA27">
      <w:pPr>
        <w:pStyle w:val="2"/>
        <w:keepNext w:val="0"/>
        <w:keepLines w:val="0"/>
        <w:pageBreakBefore w:val="0"/>
        <w:kinsoku/>
        <w:wordWrap/>
        <w:overflowPunct/>
        <w:topLinePunct w:val="0"/>
        <w:autoSpaceDE/>
        <w:autoSpaceDN/>
        <w:bidi w:val="0"/>
        <w:adjustRightInd/>
        <w:snapToGrid/>
        <w:spacing w:line="560" w:lineRule="exact"/>
        <w:ind w:firstLine="643" w:firstLineChars="200"/>
        <w:rPr>
          <w:rFonts w:hint="eastAsia" w:ascii="仿宋_GB2312" w:hAnsi="Times New Roman" w:eastAsia="仿宋_GB2312" w:cs="仿宋_GB2312"/>
          <w:color w:val="auto"/>
          <w:kern w:val="2"/>
          <w:position w:val="0"/>
          <w:sz w:val="32"/>
          <w:szCs w:val="32"/>
          <w:highlight w:val="none"/>
          <w:lang w:val="en-US" w:eastAsia="zh-CN" w:bidi="ar-SA"/>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楷体_GB2312" w:hAnsi="宋体" w:eastAsia="楷体_GB2312" w:cs="Times New Roman"/>
          <w:b/>
          <w:color w:val="auto"/>
          <w:sz w:val="32"/>
          <w:szCs w:val="32"/>
          <w:highlight w:val="none"/>
          <w:u w:val="none"/>
          <w:lang w:val="zh-CN" w:eastAsia="zh-CN"/>
        </w:rPr>
        <w:t>绩效分析</w:t>
      </w:r>
      <w:r>
        <w:rPr>
          <w:rFonts w:hint="default" w:ascii="Times New Roman" w:hAnsi="Times New Roman" w:eastAsia="楷体_GB2312" w:cs="Times New Roman"/>
          <w:b/>
          <w:bCs/>
          <w:color w:val="000000"/>
          <w:kern w:val="0"/>
          <w:szCs w:val="32"/>
          <w:highlight w:val="none"/>
          <w:shd w:val="clear" w:color="auto" w:fill="FFFFFF"/>
          <w:lang w:val="zh-CN"/>
        </w:rPr>
        <w:t>。</w:t>
      </w:r>
      <w:r>
        <w:rPr>
          <w:rFonts w:hint="eastAsia" w:ascii="仿宋_GB2312" w:hAnsi="Times New Roman" w:eastAsia="仿宋_GB2312" w:cs="仿宋_GB2312"/>
          <w:color w:val="auto"/>
          <w:kern w:val="2"/>
          <w:position w:val="0"/>
          <w:sz w:val="32"/>
          <w:szCs w:val="32"/>
          <w:highlight w:val="none"/>
          <w:lang w:val="en-US" w:eastAsia="zh-CN" w:bidi="ar-SA"/>
        </w:rPr>
        <w:t>202</w:t>
      </w:r>
      <w:r>
        <w:rPr>
          <w:rFonts w:hint="eastAsia" w:ascii="仿宋_GB2312" w:eastAsia="仿宋_GB2312" w:cs="仿宋_GB2312"/>
          <w:color w:val="auto"/>
          <w:kern w:val="2"/>
          <w:position w:val="0"/>
          <w:sz w:val="32"/>
          <w:szCs w:val="32"/>
          <w:highlight w:val="none"/>
          <w:lang w:val="en-US" w:eastAsia="zh-CN" w:bidi="ar-SA"/>
        </w:rPr>
        <w:t>4</w:t>
      </w:r>
      <w:r>
        <w:rPr>
          <w:rFonts w:hint="eastAsia" w:ascii="仿宋_GB2312" w:hAnsi="Times New Roman" w:eastAsia="仿宋_GB2312" w:cs="仿宋_GB2312"/>
          <w:color w:val="auto"/>
          <w:kern w:val="2"/>
          <w:position w:val="0"/>
          <w:sz w:val="32"/>
          <w:szCs w:val="32"/>
          <w:highlight w:val="none"/>
          <w:lang w:val="en-US" w:eastAsia="zh-CN" w:bidi="ar-SA"/>
        </w:rPr>
        <w:t>年</w:t>
      </w:r>
      <w:r>
        <w:rPr>
          <w:rFonts w:hint="eastAsia" w:ascii="仿宋_GB2312" w:eastAsia="仿宋_GB2312" w:cs="仿宋_GB2312"/>
          <w:color w:val="auto"/>
          <w:kern w:val="2"/>
          <w:position w:val="0"/>
          <w:sz w:val="32"/>
          <w:szCs w:val="32"/>
          <w:highlight w:val="none"/>
          <w:lang w:val="en-US" w:eastAsia="zh-CN" w:bidi="ar-SA"/>
        </w:rPr>
        <w:t>已完成专线费用支付4.8万元</w:t>
      </w:r>
      <w:r>
        <w:rPr>
          <w:rFonts w:hint="eastAsia" w:ascii="仿宋_GB2312" w:hAnsi="Times New Roman" w:eastAsia="仿宋_GB2312" w:cs="仿宋_GB2312"/>
          <w:color w:val="auto"/>
          <w:kern w:val="2"/>
          <w:position w:val="0"/>
          <w:sz w:val="32"/>
          <w:szCs w:val="32"/>
          <w:highlight w:val="none"/>
          <w:lang w:val="en-US" w:eastAsia="zh-CN" w:bidi="ar-SA"/>
        </w:rPr>
        <w:t>，</w:t>
      </w:r>
      <w:r>
        <w:rPr>
          <w:rFonts w:hint="eastAsia" w:ascii="仿宋_GB2312" w:eastAsia="仿宋_GB2312" w:cs="仿宋_GB2312"/>
          <w:color w:val="auto"/>
          <w:kern w:val="2"/>
          <w:position w:val="0"/>
          <w:sz w:val="32"/>
          <w:szCs w:val="32"/>
          <w:highlight w:val="none"/>
          <w:lang w:val="en-US" w:eastAsia="zh-CN" w:bidi="ar-SA"/>
        </w:rPr>
        <w:t>森林草原防灭火视频会议系统</w:t>
      </w:r>
      <w:r>
        <w:rPr>
          <w:rFonts w:hint="eastAsia" w:ascii="仿宋_GB2312" w:hAnsi="Times New Roman" w:eastAsia="仿宋_GB2312" w:cs="仿宋_GB2312"/>
          <w:color w:val="auto"/>
          <w:kern w:val="2"/>
          <w:position w:val="0"/>
          <w:sz w:val="32"/>
          <w:szCs w:val="32"/>
          <w:highlight w:val="none"/>
          <w:lang w:val="en-US" w:eastAsia="zh-CN" w:bidi="ar-SA"/>
        </w:rPr>
        <w:t>运行正常。</w:t>
      </w:r>
    </w:p>
    <w:p w14:paraId="22C0CDC9">
      <w:pPr>
        <w:pStyle w:val="2"/>
        <w:keepNext w:val="0"/>
        <w:keepLines w:val="0"/>
        <w:pageBreakBefore w:val="0"/>
        <w:kinsoku/>
        <w:wordWrap/>
        <w:overflowPunct/>
        <w:topLinePunct w:val="0"/>
        <w:autoSpaceDE/>
        <w:autoSpaceDN/>
        <w:bidi w:val="0"/>
        <w:adjustRightInd/>
        <w:snapToGrid/>
        <w:spacing w:line="560" w:lineRule="exact"/>
        <w:ind w:firstLine="643" w:firstLineChars="200"/>
        <w:rPr>
          <w:rFonts w:hint="eastAsia" w:cs="Times New Roman"/>
          <w:color w:val="auto"/>
          <w:szCs w:val="32"/>
          <w:lang w:val="en-US" w:eastAsia="zh-CN"/>
        </w:rPr>
      </w:pPr>
      <w:r>
        <w:rPr>
          <w:rFonts w:hint="eastAsia" w:ascii="楷体_GB2312" w:hAnsi="宋体" w:eastAsia="楷体_GB2312" w:cs="Times New Roman"/>
          <w:b/>
          <w:color w:val="auto"/>
          <w:sz w:val="32"/>
          <w:szCs w:val="32"/>
          <w:highlight w:val="none"/>
          <w:u w:val="none"/>
          <w:lang w:val="zh-CN"/>
        </w:rPr>
        <w:t>（三）</w:t>
      </w:r>
      <w:r>
        <w:rPr>
          <w:rFonts w:hint="eastAsia" w:ascii="楷体_GB2312" w:hAnsi="宋体" w:eastAsia="楷体_GB2312" w:cs="Times New Roman"/>
          <w:b/>
          <w:color w:val="auto"/>
          <w:sz w:val="32"/>
          <w:szCs w:val="32"/>
          <w:highlight w:val="none"/>
          <w:u w:val="none"/>
          <w:lang w:val="en-US" w:eastAsia="zh-CN"/>
        </w:rPr>
        <w:t>个性指标</w:t>
      </w:r>
      <w:r>
        <w:rPr>
          <w:rFonts w:hint="default" w:ascii="楷体_GB2312" w:hAnsi="宋体" w:eastAsia="楷体_GB2312" w:cs="Times New Roman"/>
          <w:b/>
          <w:color w:val="auto"/>
          <w:sz w:val="32"/>
          <w:szCs w:val="32"/>
          <w:highlight w:val="none"/>
          <w:u w:val="none"/>
          <w:lang w:val="zh-CN" w:eastAsia="zh-CN"/>
        </w:rPr>
        <w:t>绩效分析</w:t>
      </w:r>
      <w:r>
        <w:rPr>
          <w:rFonts w:hint="default" w:ascii="Times New Roman" w:hAnsi="Times New Roman" w:eastAsia="楷体_GB2312" w:cs="Times New Roman"/>
          <w:b/>
          <w:bCs/>
          <w:color w:val="000000"/>
          <w:kern w:val="0"/>
          <w:szCs w:val="32"/>
          <w:highlight w:val="none"/>
          <w:shd w:val="clear" w:color="auto" w:fill="FFFFFF"/>
          <w:lang w:val="zh-CN"/>
        </w:rPr>
        <w:t>。</w:t>
      </w:r>
      <w:r>
        <w:rPr>
          <w:rFonts w:hint="eastAsia" w:ascii="仿宋_GB2312" w:eastAsia="仿宋_GB2312" w:cs="仿宋_GB2312"/>
          <w:color w:val="auto"/>
          <w:kern w:val="2"/>
          <w:position w:val="0"/>
          <w:sz w:val="32"/>
          <w:szCs w:val="32"/>
          <w:highlight w:val="none"/>
          <w:lang w:val="zh-CN" w:eastAsia="zh-CN" w:bidi="ar-SA"/>
        </w:rPr>
        <w:t>项目质量达标，</w:t>
      </w:r>
      <w:r>
        <w:rPr>
          <w:rFonts w:hint="eastAsia" w:ascii="仿宋_GB2312" w:eastAsia="仿宋_GB2312" w:cs="仿宋_GB2312"/>
          <w:color w:val="auto"/>
          <w:kern w:val="2"/>
          <w:position w:val="0"/>
          <w:sz w:val="32"/>
          <w:szCs w:val="32"/>
          <w:highlight w:val="none"/>
          <w:lang w:val="en-US" w:eastAsia="zh-CN" w:bidi="ar-SA"/>
        </w:rPr>
        <w:t>森林草原防灭火视频会议系统</w:t>
      </w:r>
      <w:r>
        <w:rPr>
          <w:rFonts w:hint="eastAsia" w:ascii="仿宋_GB2312" w:hAnsi="Times New Roman" w:eastAsia="仿宋_GB2312" w:cs="仿宋_GB2312"/>
          <w:color w:val="auto"/>
          <w:kern w:val="2"/>
          <w:position w:val="0"/>
          <w:sz w:val="32"/>
          <w:szCs w:val="32"/>
          <w:highlight w:val="none"/>
          <w:lang w:val="en-US" w:eastAsia="zh-CN" w:bidi="ar-SA"/>
        </w:rPr>
        <w:t>运行正常</w:t>
      </w:r>
      <w:r>
        <w:rPr>
          <w:rFonts w:hint="eastAsia" w:ascii="仿宋_GB2312" w:eastAsia="仿宋_GB2312" w:cs="仿宋_GB2312"/>
          <w:color w:val="auto"/>
          <w:kern w:val="2"/>
          <w:position w:val="0"/>
          <w:sz w:val="32"/>
          <w:szCs w:val="32"/>
          <w:highlight w:val="none"/>
          <w:lang w:val="en-US" w:eastAsia="zh-CN" w:bidi="ar-SA"/>
        </w:rPr>
        <w:t>。</w:t>
      </w:r>
    </w:p>
    <w:p w14:paraId="15D3EE67">
      <w:pPr>
        <w:pStyle w:val="2"/>
        <w:keepNext w:val="0"/>
        <w:keepLines w:val="0"/>
        <w:pageBreakBefore w:val="0"/>
        <w:numPr>
          <w:ilvl w:val="0"/>
          <w:numId w:val="0"/>
        </w:numPr>
        <w:kinsoku/>
        <w:wordWrap/>
        <w:overflowPunct/>
        <w:topLinePunct w:val="0"/>
        <w:autoSpaceDE/>
        <w:autoSpaceDN/>
        <w:bidi w:val="0"/>
        <w:adjustRightInd/>
        <w:spacing w:line="570" w:lineRule="exact"/>
        <w:ind w:firstLine="640" w:firstLineChars="200"/>
        <w:textAlignment w:val="auto"/>
        <w:rPr>
          <w:rFonts w:hint="eastAsia" w:ascii="黑体" w:hAnsi="宋体"/>
          <w:color w:val="auto"/>
          <w:sz w:val="32"/>
          <w:szCs w:val="32"/>
          <w:highlight w:val="none"/>
          <w:u w:val="none"/>
          <w:lang w:eastAsia="zh-CN"/>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14:paraId="7DBE308C">
      <w:pPr>
        <w:keepNext w:val="0"/>
        <w:keepLines w:val="0"/>
        <w:pageBreakBefore w:val="0"/>
        <w:widowControl/>
        <w:numPr>
          <w:ilvl w:val="0"/>
          <w:numId w:val="0"/>
        </w:numPr>
        <w:kinsoku/>
        <w:wordWrap/>
        <w:overflowPunct/>
        <w:topLinePunct w:val="0"/>
        <w:autoSpaceDE/>
        <w:autoSpaceDN/>
        <w:bidi w:val="0"/>
        <w:adjustRightInd w:val="0"/>
        <w:snapToGrid w:val="0"/>
        <w:spacing w:line="570" w:lineRule="exact"/>
        <w:ind w:left="0" w:leftChars="0" w:firstLine="640" w:firstLineChars="200"/>
        <w:contextualSpacing/>
        <w:jc w:val="left"/>
        <w:textAlignment w:val="auto"/>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项目严格按照任务相关文件要求确定建设内容，项目资金使用方向合规。项目管理规范，有严格的财务管理制度和项目实施监督制度。</w:t>
      </w:r>
      <w:r>
        <w:rPr>
          <w:rFonts w:hint="eastAsia" w:ascii="仿宋_GB2312" w:eastAsia="仿宋_GB2312" w:cs="仿宋_GB2312"/>
          <w:sz w:val="32"/>
          <w:szCs w:val="32"/>
          <w:lang w:val="en-US" w:eastAsia="zh-CN" w:bidi="ar-SA"/>
        </w:rPr>
        <w:t>传统的面对面会议受限于场地、时间和交通等因素，往往效率低下，成本高昂。而</w:t>
      </w:r>
      <w:r>
        <w:rPr>
          <w:rFonts w:hint="eastAsia" w:ascii="仿宋_GB2312" w:cs="仿宋_GB2312"/>
          <w:sz w:val="32"/>
          <w:szCs w:val="32"/>
          <w:lang w:val="en-US" w:eastAsia="zh-CN" w:bidi="ar-SA"/>
        </w:rPr>
        <w:t>森林草原防灭火</w:t>
      </w:r>
      <w:r>
        <w:rPr>
          <w:rFonts w:hint="eastAsia" w:ascii="仿宋_GB2312" w:eastAsia="仿宋_GB2312" w:cs="仿宋_GB2312"/>
          <w:sz w:val="32"/>
          <w:szCs w:val="32"/>
          <w:lang w:val="en-US" w:eastAsia="zh-CN" w:bidi="ar-SA"/>
        </w:rPr>
        <w:t>视频会议系统通过互联网技术，实现了远程的实时交流。无论身处何地，只要有一台联网的设备，就能轻松参与会议，极大地节省了时间和金钱成本。此外，</w:t>
      </w:r>
      <w:r>
        <w:rPr>
          <w:rFonts w:hint="eastAsia" w:ascii="仿宋_GB2312" w:cs="仿宋_GB2312"/>
          <w:sz w:val="32"/>
          <w:szCs w:val="32"/>
          <w:lang w:val="en-US" w:eastAsia="zh-CN" w:bidi="ar-SA"/>
        </w:rPr>
        <w:t>森林草原防灭火</w:t>
      </w:r>
      <w:r>
        <w:rPr>
          <w:rFonts w:hint="eastAsia" w:ascii="仿宋_GB2312" w:eastAsia="仿宋_GB2312" w:cs="仿宋_GB2312"/>
          <w:sz w:val="32"/>
          <w:szCs w:val="32"/>
          <w:lang w:val="en-US" w:eastAsia="zh-CN" w:bidi="ar-SA"/>
        </w:rPr>
        <w:t>视频会议系统还打破了时间限制。参会者可以根据自己的时间安排，选择参加合适的会议时段，大大提高了工作的灵活性</w:t>
      </w:r>
      <w:r>
        <w:rPr>
          <w:rFonts w:hint="eastAsia" w:ascii="仿宋_GB2312" w:cs="仿宋_GB2312"/>
          <w:sz w:val="32"/>
          <w:szCs w:val="32"/>
          <w:lang w:val="en-US" w:eastAsia="zh-CN" w:bidi="ar-SA"/>
        </w:rPr>
        <w:t>。</w:t>
      </w:r>
      <w:r>
        <w:rPr>
          <w:rFonts w:hint="eastAsia" w:ascii="仿宋_GB2312" w:hAnsi="Times New Roman" w:eastAsia="仿宋_GB2312" w:cs="Times New Roman"/>
          <w:sz w:val="32"/>
          <w:szCs w:val="32"/>
          <w:lang w:val="en-US" w:eastAsia="zh-CN"/>
        </w:rPr>
        <w:t>通过自评，项目得分</w:t>
      </w:r>
      <w:r>
        <w:rPr>
          <w:rFonts w:hint="eastAsia" w:ascii="仿宋_GB2312" w:cs="Times New Roman"/>
          <w:sz w:val="32"/>
          <w:szCs w:val="32"/>
          <w:lang w:val="en-US" w:eastAsia="zh-CN"/>
        </w:rPr>
        <w:t>98</w:t>
      </w:r>
      <w:bookmarkStart w:id="0" w:name="_GoBack"/>
      <w:bookmarkEnd w:id="0"/>
      <w:r>
        <w:rPr>
          <w:rFonts w:hint="eastAsia" w:ascii="仿宋_GB2312" w:hAnsi="Times New Roman" w:eastAsia="仿宋_GB2312" w:cs="Times New Roman"/>
          <w:sz w:val="32"/>
          <w:szCs w:val="32"/>
          <w:lang w:val="en-US" w:eastAsia="zh-CN"/>
        </w:rPr>
        <w:t>分。</w:t>
      </w:r>
    </w:p>
    <w:p w14:paraId="424C2832">
      <w:pPr>
        <w:pStyle w:val="2"/>
        <w:keepNext w:val="0"/>
        <w:keepLines w:val="0"/>
        <w:pageBreakBefore w:val="0"/>
        <w:numPr>
          <w:ilvl w:val="0"/>
          <w:numId w:val="0"/>
        </w:numPr>
        <w:kinsoku/>
        <w:wordWrap/>
        <w:overflowPunct/>
        <w:topLinePunct w:val="0"/>
        <w:autoSpaceDE/>
        <w:autoSpaceDN/>
        <w:bidi w:val="0"/>
        <w:adjustRightInd/>
        <w:spacing w:line="57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cs="Times New Roman"/>
          <w:color w:val="auto"/>
          <w:sz w:val="32"/>
          <w:szCs w:val="32"/>
          <w:highlight w:val="none"/>
          <w:u w:val="none"/>
          <w:lang w:eastAsia="zh-CN"/>
        </w:rPr>
        <w:t>五、</w:t>
      </w:r>
      <w:r>
        <w:rPr>
          <w:rFonts w:hint="eastAsia" w:ascii="黑体" w:hAnsi="宋体" w:eastAsia="黑体" w:cs="Times New Roman"/>
          <w:color w:val="auto"/>
          <w:sz w:val="32"/>
          <w:szCs w:val="32"/>
          <w:highlight w:val="none"/>
          <w:u w:val="none"/>
          <w:lang w:eastAsia="zh-CN"/>
        </w:rPr>
        <w:t>存在主要问题</w:t>
      </w:r>
    </w:p>
    <w:p w14:paraId="002FEECD">
      <w:pPr>
        <w:ind w:firstLine="640" w:firstLineChars="200"/>
        <w:rPr>
          <w:rFonts w:hint="default"/>
          <w:lang w:val="en-US" w:eastAsia="zh-CN"/>
        </w:rPr>
      </w:pPr>
      <w:r>
        <w:rPr>
          <w:rFonts w:hint="eastAsia" w:ascii="仿宋_GB2312" w:hAnsi="仿宋_GB2312" w:cs="仿宋_GB2312"/>
          <w:b w:val="0"/>
          <w:bCs w:val="0"/>
          <w:kern w:val="0"/>
          <w:position w:val="0"/>
          <w:sz w:val="32"/>
          <w:szCs w:val="32"/>
          <w:highlight w:val="none"/>
          <w:lang w:val="en-US" w:eastAsia="zh-CN" w:bidi="ar-SA"/>
        </w:rPr>
        <w:t>无。</w:t>
      </w:r>
    </w:p>
    <w:p w14:paraId="203AFD32">
      <w:pPr>
        <w:pStyle w:val="2"/>
        <w:keepNext w:val="0"/>
        <w:keepLines w:val="0"/>
        <w:pageBreakBefore w:val="0"/>
        <w:numPr>
          <w:ilvl w:val="0"/>
          <w:numId w:val="0"/>
        </w:numPr>
        <w:kinsoku/>
        <w:wordWrap/>
        <w:overflowPunct/>
        <w:topLinePunct w:val="0"/>
        <w:autoSpaceDE/>
        <w:autoSpaceDN/>
        <w:bidi w:val="0"/>
        <w:adjustRightInd/>
        <w:spacing w:line="57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14:paraId="784B9BDB">
      <w:pPr>
        <w:pStyle w:val="2"/>
        <w:spacing w:line="360" w:lineRule="auto"/>
        <w:ind w:left="0" w:firstLine="640" w:firstLineChars="200"/>
        <w:rPr>
          <w:rFonts w:hint="default" w:ascii="仿宋_GB2312" w:hAnsi="仿宋_GB2312" w:cs="仿宋_GB2312"/>
          <w:b w:val="0"/>
          <w:bCs w:val="0"/>
          <w:kern w:val="0"/>
          <w:position w:val="0"/>
          <w:sz w:val="32"/>
          <w:szCs w:val="32"/>
          <w:highlight w:val="none"/>
          <w:lang w:val="en-US" w:eastAsia="zh-CN" w:bidi="ar-SA"/>
        </w:rPr>
      </w:pPr>
      <w:r>
        <w:rPr>
          <w:rFonts w:hint="eastAsia" w:ascii="仿宋_GB2312" w:eastAsia="仿宋_GB2312" w:cs="宋体"/>
          <w:sz w:val="32"/>
          <w:szCs w:val="32"/>
          <w:lang w:val="en-US" w:eastAsia="zh-CN"/>
        </w:rPr>
        <w:t>无</w:t>
      </w:r>
      <w:r>
        <w:rPr>
          <w:rFonts w:hint="eastAsia" w:ascii="仿宋_GB2312" w:eastAsia="仿宋_GB2312" w:cs="宋体"/>
          <w:sz w:val="32"/>
          <w:szCs w:val="32"/>
        </w:rPr>
        <w:t>。</w:t>
      </w:r>
    </w:p>
    <w:p w14:paraId="3B4FEC43">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附表：1.</w:t>
      </w:r>
      <w:r>
        <w:rPr>
          <w:rFonts w:hint="eastAsia" w:cs="Times New Roman"/>
          <w:color w:val="000000"/>
          <w:kern w:val="0"/>
          <w:szCs w:val="32"/>
          <w:highlight w:val="none"/>
          <w:shd w:val="clear" w:color="auto" w:fill="FFFFFF"/>
          <w:lang w:val="en-US" w:eastAsia="zh-CN"/>
        </w:rPr>
        <w:t>专项</w:t>
      </w:r>
      <w:r>
        <w:rPr>
          <w:rFonts w:hint="default" w:ascii="Times New Roman" w:hAnsi="Times New Roman" w:cs="Times New Roman"/>
          <w:color w:val="000000"/>
          <w:kern w:val="0"/>
          <w:szCs w:val="32"/>
          <w:highlight w:val="none"/>
          <w:shd w:val="clear" w:color="auto" w:fill="FFFFFF"/>
          <w:lang w:val="en-US" w:eastAsia="zh-CN"/>
        </w:rPr>
        <w:t>预算绩效自评打分表</w:t>
      </w:r>
    </w:p>
    <w:p w14:paraId="36E10C4A">
      <w:pPr>
        <w:keepNext w:val="0"/>
        <w:keepLines w:val="0"/>
        <w:pageBreakBefore w:val="0"/>
        <w:kinsoku/>
        <w:wordWrap/>
        <w:overflowPunct/>
        <w:topLinePunct w:val="0"/>
        <w:autoSpaceDE/>
        <w:autoSpaceDN/>
        <w:bidi w:val="0"/>
        <w:adjustRightInd/>
        <w:snapToGrid w:val="0"/>
        <w:spacing w:line="578" w:lineRule="exact"/>
        <w:ind w:left="0" w:leftChars="0" w:firstLine="1600" w:firstLineChars="5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2.专项预算绩效自评实地踏勘点位清单表</w:t>
      </w:r>
    </w:p>
    <w:p w14:paraId="2F52186D">
      <w:pPr>
        <w:keepNext w:val="0"/>
        <w:keepLines w:val="0"/>
        <w:pageBreakBefore w:val="0"/>
        <w:kinsoku/>
        <w:wordWrap/>
        <w:overflowPunct/>
        <w:topLinePunct w:val="0"/>
        <w:autoSpaceDE/>
        <w:autoSpaceDN/>
        <w:bidi w:val="0"/>
        <w:adjustRightInd/>
        <w:snapToGrid w:val="0"/>
        <w:spacing w:line="578" w:lineRule="exact"/>
        <w:ind w:left="0" w:leftChars="0" w:firstLine="1600" w:firstLineChars="5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eastAsia" w:cs="Times New Roman"/>
          <w:color w:val="000000"/>
          <w:kern w:val="0"/>
          <w:szCs w:val="32"/>
          <w:highlight w:val="none"/>
          <w:shd w:val="clear" w:color="auto" w:fill="FFFFFF"/>
          <w:lang w:val="en-US" w:eastAsia="zh-CN"/>
        </w:rPr>
        <w:t>3.</w:t>
      </w:r>
      <w:r>
        <w:rPr>
          <w:rFonts w:hint="default" w:ascii="Times New Roman" w:hAnsi="Times New Roman" w:cs="Times New Roman"/>
          <w:color w:val="000000"/>
          <w:kern w:val="0"/>
          <w:szCs w:val="32"/>
          <w:highlight w:val="none"/>
          <w:shd w:val="clear" w:color="auto" w:fill="FFFFFF"/>
          <w:lang w:val="en-US" w:eastAsia="zh-CN"/>
        </w:rPr>
        <w:t>专项预算项目绩效目标完成情况自评表</w:t>
      </w:r>
    </w:p>
    <w:p w14:paraId="77B963DA">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zh-CN" w:eastAsia="zh-CN"/>
        </w:rPr>
        <w:br w:type="page"/>
      </w: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t>附表</w:t>
      </w:r>
      <w:r>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t>1</w:t>
      </w:r>
    </w:p>
    <w:p w14:paraId="102B50B6">
      <w:pPr>
        <w:keepNext w:val="0"/>
        <w:keepLines w:val="0"/>
        <w:pageBreakBefore w:val="0"/>
        <w:kinsoku/>
        <w:wordWrap/>
        <w:overflowPunct/>
        <w:topLinePunct w:val="0"/>
        <w:autoSpaceDE/>
        <w:autoSpaceDN/>
        <w:bidi w:val="0"/>
        <w:spacing w:line="578" w:lineRule="exact"/>
        <w:ind w:left="0" w:leftChars="0"/>
        <w:jc w:val="center"/>
        <w:textAlignment w:val="auto"/>
        <w:rPr>
          <w:rFonts w:hint="default" w:ascii="Times New Roman" w:hAnsi="Times New Roman" w:eastAsia="方正小标宋_GBK" w:cs="Times New Roman"/>
          <w:b w:val="0"/>
          <w:bCs w:val="0"/>
          <w:color w:val="auto"/>
          <w:sz w:val="40"/>
          <w:szCs w:val="40"/>
          <w:highlight w:val="none"/>
          <w:u w:val="none"/>
          <w:lang w:val="en-US" w:eastAsia="zh-CN"/>
        </w:rPr>
      </w:pPr>
      <w:r>
        <w:rPr>
          <w:rFonts w:hint="eastAsia" w:ascii="Times New Roman" w:hAnsi="Times New Roman" w:eastAsia="方正小标宋_GBK" w:cs="Times New Roman"/>
          <w:b w:val="0"/>
          <w:bCs w:val="0"/>
          <w:color w:val="auto"/>
          <w:sz w:val="40"/>
          <w:szCs w:val="40"/>
          <w:highlight w:val="none"/>
          <w:u w:val="none"/>
          <w:lang w:val="en-US" w:eastAsia="zh-CN"/>
        </w:rPr>
        <w:t>专项</w:t>
      </w:r>
      <w:r>
        <w:rPr>
          <w:rFonts w:hint="default" w:ascii="Times New Roman" w:hAnsi="Times New Roman" w:eastAsia="方正小标宋_GBK" w:cs="Times New Roman"/>
          <w:b w:val="0"/>
          <w:bCs w:val="0"/>
          <w:color w:val="auto"/>
          <w:sz w:val="40"/>
          <w:szCs w:val="40"/>
          <w:highlight w:val="none"/>
          <w:u w:val="none"/>
          <w:lang w:val="en-US" w:eastAsia="zh-CN"/>
        </w:rPr>
        <w:t>预算绩效自评打分表</w:t>
      </w:r>
    </w:p>
    <w:tbl>
      <w:tblPr>
        <w:tblStyle w:val="9"/>
        <w:tblW w:w="109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0"/>
        <w:gridCol w:w="765"/>
        <w:gridCol w:w="825"/>
        <w:gridCol w:w="1460"/>
        <w:gridCol w:w="591"/>
        <w:gridCol w:w="5340"/>
        <w:gridCol w:w="732"/>
        <w:gridCol w:w="468"/>
      </w:tblGrid>
      <w:tr w14:paraId="5987B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361" w:type="dxa"/>
            <w:gridSpan w:val="5"/>
            <w:tcBorders>
              <w:top w:val="single" w:color="000000" w:sz="4" w:space="0"/>
              <w:left w:val="single" w:color="000000" w:sz="4" w:space="0"/>
              <w:bottom w:val="nil"/>
              <w:right w:val="nil"/>
            </w:tcBorders>
            <w:noWrap w:val="0"/>
            <w:vAlign w:val="center"/>
          </w:tcPr>
          <w:p w14:paraId="781F52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绩效评价指标</w:t>
            </w:r>
          </w:p>
        </w:tc>
        <w:tc>
          <w:tcPr>
            <w:tcW w:w="5340" w:type="dxa"/>
            <w:vMerge w:val="restart"/>
            <w:tcBorders>
              <w:top w:val="single" w:color="000000" w:sz="4" w:space="0"/>
              <w:left w:val="single" w:color="000000" w:sz="4" w:space="0"/>
              <w:bottom w:val="single" w:color="000000" w:sz="4" w:space="0"/>
              <w:right w:val="single" w:color="000000" w:sz="4" w:space="0"/>
            </w:tcBorders>
            <w:noWrap w:val="0"/>
            <w:vAlign w:val="center"/>
          </w:tcPr>
          <w:p w14:paraId="5CD281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指标解释</w:t>
            </w:r>
          </w:p>
        </w:tc>
        <w:tc>
          <w:tcPr>
            <w:tcW w:w="732" w:type="dxa"/>
            <w:vMerge w:val="restart"/>
            <w:tcBorders>
              <w:top w:val="single" w:color="000000" w:sz="4" w:space="0"/>
              <w:left w:val="single" w:color="000000" w:sz="4" w:space="0"/>
              <w:right w:val="single" w:color="000000" w:sz="4" w:space="0"/>
            </w:tcBorders>
            <w:noWrap w:val="0"/>
            <w:vAlign w:val="center"/>
          </w:tcPr>
          <w:p w14:paraId="3A1CCC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自评得分</w:t>
            </w:r>
          </w:p>
        </w:tc>
        <w:tc>
          <w:tcPr>
            <w:tcW w:w="468" w:type="dxa"/>
            <w:vMerge w:val="restart"/>
            <w:tcBorders>
              <w:top w:val="single" w:color="000000" w:sz="4" w:space="0"/>
              <w:left w:val="single" w:color="000000" w:sz="4" w:space="0"/>
              <w:right w:val="single" w:color="000000" w:sz="4" w:space="0"/>
            </w:tcBorders>
            <w:noWrap w:val="0"/>
            <w:vAlign w:val="center"/>
          </w:tcPr>
          <w:p w14:paraId="434AA3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备注</w:t>
            </w:r>
          </w:p>
        </w:tc>
      </w:tr>
      <w:tr w14:paraId="77056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79C7EC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一级指标</w:t>
            </w:r>
          </w:p>
        </w:tc>
        <w:tc>
          <w:tcPr>
            <w:tcW w:w="1590" w:type="dxa"/>
            <w:gridSpan w:val="2"/>
            <w:tcBorders>
              <w:top w:val="single" w:color="000000" w:sz="4" w:space="0"/>
              <w:left w:val="single" w:color="000000" w:sz="4" w:space="0"/>
              <w:bottom w:val="single" w:color="000000" w:sz="4" w:space="0"/>
              <w:right w:val="single" w:color="000000" w:sz="4" w:space="0"/>
            </w:tcBorders>
            <w:noWrap w:val="0"/>
            <w:vAlign w:val="center"/>
          </w:tcPr>
          <w:p w14:paraId="009FD5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二级指标</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0129B8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三级指标</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3EFF57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指标</w:t>
            </w:r>
            <w:r>
              <w:rPr>
                <w:rFonts w:hint="eastAsia" w:ascii="黑体" w:hAnsi="宋体" w:eastAsia="黑体" w:cs="黑体"/>
                <w:i w:val="0"/>
                <w:color w:val="000000"/>
                <w:kern w:val="0"/>
                <w:sz w:val="24"/>
                <w:szCs w:val="24"/>
                <w:u w:val="none"/>
                <w:lang w:val="en-US" w:eastAsia="zh-CN" w:bidi="ar"/>
              </w:rPr>
              <w:br w:type="textWrapping"/>
            </w:r>
            <w:r>
              <w:rPr>
                <w:rFonts w:hint="eastAsia" w:ascii="黑体" w:hAnsi="宋体" w:eastAsia="黑体" w:cs="黑体"/>
                <w:i w:val="0"/>
                <w:color w:val="000000"/>
                <w:kern w:val="0"/>
                <w:sz w:val="24"/>
                <w:szCs w:val="24"/>
                <w:u w:val="none"/>
                <w:lang w:val="en-US" w:eastAsia="zh-CN" w:bidi="ar"/>
              </w:rPr>
              <w:t>分值</w:t>
            </w:r>
          </w:p>
        </w:tc>
        <w:tc>
          <w:tcPr>
            <w:tcW w:w="5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93F6FE">
            <w:pPr>
              <w:keepNext w:val="0"/>
              <w:keepLines w:val="0"/>
              <w:pageBreakBefore w:val="0"/>
              <w:widowControl/>
              <w:kinsoku/>
              <w:wordWrap/>
              <w:overflowPunct/>
              <w:topLinePunct w:val="0"/>
              <w:autoSpaceDE/>
              <w:autoSpaceDN/>
              <w:bidi w:val="0"/>
              <w:adjustRightInd/>
              <w:snapToGrid/>
              <w:spacing w:line="240" w:lineRule="exact"/>
              <w:jc w:val="center"/>
              <w:rPr>
                <w:rFonts w:hint="eastAsia" w:ascii="黑体" w:hAnsi="宋体" w:eastAsia="黑体" w:cs="黑体"/>
                <w:i w:val="0"/>
                <w:color w:val="000000"/>
                <w:sz w:val="24"/>
                <w:szCs w:val="24"/>
                <w:u w:val="none"/>
              </w:rPr>
            </w:pPr>
          </w:p>
        </w:tc>
        <w:tc>
          <w:tcPr>
            <w:tcW w:w="732" w:type="dxa"/>
            <w:vMerge w:val="continue"/>
            <w:tcBorders>
              <w:left w:val="single" w:color="000000" w:sz="4" w:space="0"/>
              <w:bottom w:val="single" w:color="000000" w:sz="4" w:space="0"/>
              <w:right w:val="single" w:color="000000" w:sz="4" w:space="0"/>
            </w:tcBorders>
            <w:noWrap w:val="0"/>
            <w:vAlign w:val="center"/>
          </w:tcPr>
          <w:p w14:paraId="4E741A3D">
            <w:pPr>
              <w:keepNext w:val="0"/>
              <w:keepLines w:val="0"/>
              <w:pageBreakBefore w:val="0"/>
              <w:widowControl/>
              <w:kinsoku/>
              <w:wordWrap/>
              <w:overflowPunct/>
              <w:topLinePunct w:val="0"/>
              <w:autoSpaceDE/>
              <w:autoSpaceDN/>
              <w:bidi w:val="0"/>
              <w:adjustRightInd/>
              <w:snapToGrid/>
              <w:spacing w:line="240" w:lineRule="exact"/>
              <w:jc w:val="center"/>
              <w:rPr>
                <w:rFonts w:hint="eastAsia" w:ascii="黑体" w:hAnsi="宋体" w:eastAsia="黑体" w:cs="黑体"/>
                <w:i w:val="0"/>
                <w:color w:val="000000"/>
                <w:sz w:val="24"/>
                <w:szCs w:val="24"/>
                <w:u w:val="none"/>
              </w:rPr>
            </w:pPr>
          </w:p>
        </w:tc>
        <w:tc>
          <w:tcPr>
            <w:tcW w:w="468" w:type="dxa"/>
            <w:vMerge w:val="continue"/>
            <w:tcBorders>
              <w:left w:val="single" w:color="000000" w:sz="4" w:space="0"/>
              <w:bottom w:val="single" w:color="000000" w:sz="4" w:space="0"/>
              <w:right w:val="single" w:color="000000" w:sz="4" w:space="0"/>
            </w:tcBorders>
            <w:noWrap w:val="0"/>
            <w:vAlign w:val="center"/>
          </w:tcPr>
          <w:p w14:paraId="21D42E3E">
            <w:pPr>
              <w:keepNext w:val="0"/>
              <w:keepLines w:val="0"/>
              <w:pageBreakBefore w:val="0"/>
              <w:widowControl/>
              <w:kinsoku/>
              <w:wordWrap/>
              <w:overflowPunct/>
              <w:topLinePunct w:val="0"/>
              <w:autoSpaceDE/>
              <w:autoSpaceDN/>
              <w:bidi w:val="0"/>
              <w:adjustRightInd/>
              <w:snapToGrid/>
              <w:spacing w:line="240" w:lineRule="exact"/>
              <w:jc w:val="center"/>
              <w:rPr>
                <w:rFonts w:hint="eastAsia" w:ascii="黑体" w:hAnsi="宋体" w:eastAsia="黑体" w:cs="黑体"/>
                <w:i w:val="0"/>
                <w:color w:val="000000"/>
                <w:sz w:val="24"/>
                <w:szCs w:val="24"/>
                <w:u w:val="none"/>
              </w:rPr>
            </w:pPr>
          </w:p>
        </w:tc>
      </w:tr>
      <w:tr w14:paraId="6A7B6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noWrap w:val="0"/>
            <w:vAlign w:val="center"/>
          </w:tcPr>
          <w:p w14:paraId="6D0116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通用指标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（54分）</w:t>
            </w: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06702B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项目决策</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（18分）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3C9771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决策程序</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67FE2F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B4F3C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项目决策程序是否严密</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B35D6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81BC7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BECD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54B53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565AFC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6A3E8E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规划论证</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57DFEC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C3404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项目规划论证是否符合中省要求，项目绩效目标设置是否科学合理</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41956A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6BBF6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31E1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5E178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8854F9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368534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资金投向</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15FCBE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0B047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项目资金是否与项目总体规划、相关行业事业发展相匹配，是否聚焦重大任务、重点领域、重点环节和重点项目</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3B6FDE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8D84C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674D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F5AF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467DC0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项目管理</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（18分）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2907A2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制度办法</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0820BD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BF19C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项目制度办法是否体系健全、要素完备</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7670D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13CD6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E4DE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68FF5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FC2F88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395461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分配管理</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609E14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16A8C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项目资金分配因素选取、权重设置、区域分布，项目管理、审批是否符合管理要求</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EA59F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10</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08894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7AA3E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7004F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0126E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4A90FD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绩效监管</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3CA9F2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14931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管资金、项目、政策是否管绩效，项目绩效监管是否按要求开展，对下指导是否有力有效</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33288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5</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F7BEA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2C04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137A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5B89B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项目实施</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（9分）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5B2CC4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预算执行</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5667BB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6709B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项目资金财政拨付、单位执行和地方配套到位情况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FAF22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5</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182FB6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42C1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9FC9D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AE167B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180A0D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资金使用</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0E1F08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546904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资金使用拨付、项目实施是否符合规定</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DBFED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CDF6E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F775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59C8E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7FDE7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项目结果</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（9分）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5CABAC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目标完成</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23C6D1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1B13B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项目是否完成预期目标，实施结果是否与绩效目标相匹配，反映目标实现程度</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40511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7945B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3194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22627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484273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4083F4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完成时效</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15186D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1C58C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项目实际完成时间与计划完成时间的比较</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F822F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17A481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9DD9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noWrap w:val="0"/>
            <w:vAlign w:val="center"/>
          </w:tcPr>
          <w:p w14:paraId="42B5B5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专用指标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D79D0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产业发展</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6E2447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符合性</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0ED454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2DD76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项目实施是否与省委省政府支持重点、产业支持政策符合</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5BCAE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10</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B8CE8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7E82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C1E21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0F0F57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4725E0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成长性</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03DED9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A8A0C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项目实施对相关企业（机构）成长性的促进作用，主要反映支持对象创新创造创业能力情况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8A7E6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3E1224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EBE3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A1C76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8CA3CE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2F5CB3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经济性</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08598D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7B391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项目实施对相关企业（机构）主营业务收入、净利润、税收、产量等方面增长情况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DDA35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3E032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6319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9F3B0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AFEBA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民生保障</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023550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区域均衡性</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7C337A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DC043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项目资金分配体现的均衡公平情况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0A2D7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8509E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A723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8E959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E7C4F2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5B9526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对象精准性</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13A4C3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5709B5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资金实际支持对象是否符合管理要求，是否符合支持对象范围</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DEE35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10</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110DA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96AC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153E0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2A7B0D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30A380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标准合理性</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4475AF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26170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资金实际补贴标准是否符合资金管理办法规定的补助标准，是否及时按标准兑现</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00C3F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98516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9364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F79D0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BA3273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669EE6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群众满意度</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497C76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D702A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资金涉及相关受益群体、支持对象的满意度调查访谈情况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686DF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6379D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C1E2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3FDA3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restart"/>
            <w:tcBorders>
              <w:top w:val="single" w:color="000000" w:sz="4" w:space="0"/>
              <w:left w:val="single" w:color="000000" w:sz="4" w:space="0"/>
              <w:bottom w:val="single" w:color="000000" w:sz="4" w:space="0"/>
              <w:right w:val="single" w:color="000000" w:sz="4" w:space="0"/>
            </w:tcBorders>
            <w:noWrap w:val="0"/>
            <w:vAlign w:val="center"/>
          </w:tcPr>
          <w:p w14:paraId="6A451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基础</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设施</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63B350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在建</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项目</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1A34E4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工程进度</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7D3485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42127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项目是否达到计划工程进度</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0F830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E0045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1CF0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7764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8F636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DD937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230EDC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资金拨付</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076147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296B3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项目是否达到预先确定的资金拨付进度</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52AFCE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68B46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C69E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4F297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547B5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03261A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建成</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项目</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6C8D4A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项目验收</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6438B2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1479C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项目验收是否及时合格</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464CA6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5FF0E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E54B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03E5B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6261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429A0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2F52FB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功能实现</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688CD7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1C14B3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项目经济社会功能是否实现</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FB9B3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67F9B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616F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78028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E59D2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FFCAB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04AE33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后续管护</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306AA2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3421F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项目后续维护是否实现</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3E50A5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3BEEAD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AF1B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2A678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专用指标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312502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行政运转</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460" w:type="dxa"/>
            <w:tcBorders>
              <w:top w:val="nil"/>
              <w:left w:val="single" w:color="000000" w:sz="4" w:space="0"/>
              <w:bottom w:val="single" w:color="000000" w:sz="4" w:space="0"/>
              <w:right w:val="single" w:color="000000" w:sz="4" w:space="0"/>
            </w:tcBorders>
            <w:noWrap w:val="0"/>
            <w:vAlign w:val="center"/>
          </w:tcPr>
          <w:p w14:paraId="7E8DC5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用途合规性</w:t>
            </w:r>
          </w:p>
        </w:tc>
        <w:tc>
          <w:tcPr>
            <w:tcW w:w="591" w:type="dxa"/>
            <w:tcBorders>
              <w:top w:val="nil"/>
              <w:left w:val="single" w:color="000000" w:sz="4" w:space="0"/>
              <w:bottom w:val="single" w:color="000000" w:sz="4" w:space="0"/>
              <w:right w:val="single" w:color="000000" w:sz="4" w:space="0"/>
            </w:tcBorders>
            <w:noWrap w:val="0"/>
            <w:vAlign w:val="center"/>
          </w:tcPr>
          <w:p w14:paraId="03B99E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nil"/>
              <w:left w:val="single" w:color="000000" w:sz="4" w:space="0"/>
              <w:bottom w:val="single" w:color="000000" w:sz="4" w:space="0"/>
              <w:right w:val="single" w:color="000000" w:sz="4" w:space="0"/>
            </w:tcBorders>
            <w:noWrap w:val="0"/>
            <w:vAlign w:val="center"/>
          </w:tcPr>
          <w:p w14:paraId="51A5CC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是否按规定用途、适用范围进行本地区专项资金分配</w:t>
            </w:r>
          </w:p>
        </w:tc>
        <w:tc>
          <w:tcPr>
            <w:tcW w:w="732" w:type="dxa"/>
            <w:tcBorders>
              <w:top w:val="nil"/>
              <w:left w:val="single" w:color="000000" w:sz="4" w:space="0"/>
              <w:bottom w:val="single" w:color="000000" w:sz="4" w:space="0"/>
              <w:right w:val="single" w:color="000000" w:sz="4" w:space="0"/>
            </w:tcBorders>
            <w:noWrap w:val="0"/>
            <w:vAlign w:val="center"/>
          </w:tcPr>
          <w:p w14:paraId="5C81C3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10</w:t>
            </w:r>
          </w:p>
        </w:tc>
        <w:tc>
          <w:tcPr>
            <w:tcW w:w="468" w:type="dxa"/>
            <w:tcBorders>
              <w:top w:val="nil"/>
              <w:left w:val="single" w:color="000000" w:sz="4" w:space="0"/>
              <w:bottom w:val="single" w:color="000000" w:sz="4" w:space="0"/>
              <w:right w:val="single" w:color="000000" w:sz="4" w:space="0"/>
            </w:tcBorders>
            <w:noWrap w:val="0"/>
            <w:vAlign w:val="center"/>
          </w:tcPr>
          <w:p w14:paraId="191C5C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7157C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0452E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40967C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nil"/>
              <w:left w:val="single" w:color="000000" w:sz="4" w:space="0"/>
              <w:bottom w:val="single" w:color="000000" w:sz="4" w:space="0"/>
              <w:right w:val="single" w:color="000000" w:sz="4" w:space="0"/>
            </w:tcBorders>
            <w:noWrap w:val="0"/>
            <w:vAlign w:val="center"/>
          </w:tcPr>
          <w:p w14:paraId="0ECDF0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程序合规性</w:t>
            </w:r>
          </w:p>
        </w:tc>
        <w:tc>
          <w:tcPr>
            <w:tcW w:w="591" w:type="dxa"/>
            <w:tcBorders>
              <w:top w:val="nil"/>
              <w:left w:val="single" w:color="000000" w:sz="4" w:space="0"/>
              <w:bottom w:val="single" w:color="000000" w:sz="4" w:space="0"/>
              <w:right w:val="single" w:color="000000" w:sz="4" w:space="0"/>
            </w:tcBorders>
            <w:noWrap w:val="0"/>
            <w:vAlign w:val="center"/>
          </w:tcPr>
          <w:p w14:paraId="5579EA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B36C7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资金管理程序是否符合专项资金管理要求</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33BA7A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10</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CFB9B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24345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382C1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16EBB0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nil"/>
              <w:left w:val="single" w:color="000000" w:sz="4" w:space="0"/>
              <w:bottom w:val="single" w:color="000000" w:sz="4" w:space="0"/>
              <w:right w:val="single" w:color="000000" w:sz="4" w:space="0"/>
            </w:tcBorders>
            <w:noWrap w:val="0"/>
            <w:vAlign w:val="center"/>
          </w:tcPr>
          <w:p w14:paraId="6E9456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标准合规性</w:t>
            </w:r>
          </w:p>
        </w:tc>
        <w:tc>
          <w:tcPr>
            <w:tcW w:w="591" w:type="dxa"/>
            <w:tcBorders>
              <w:top w:val="nil"/>
              <w:left w:val="single" w:color="000000" w:sz="4" w:space="0"/>
              <w:bottom w:val="single" w:color="000000" w:sz="4" w:space="0"/>
              <w:right w:val="single" w:color="000000" w:sz="4" w:space="0"/>
            </w:tcBorders>
            <w:noWrap w:val="0"/>
            <w:vAlign w:val="center"/>
          </w:tcPr>
          <w:p w14:paraId="40198A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B1FFC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资金分配标准是否符合专项资金管理要求</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4675AE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C9327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5B36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28A3DF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个性指标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（16分）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147FC7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5E432D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340" w:type="dxa"/>
            <w:vMerge w:val="restart"/>
            <w:tcBorders>
              <w:top w:val="single" w:color="000000" w:sz="4" w:space="0"/>
              <w:left w:val="single" w:color="000000" w:sz="4" w:space="0"/>
              <w:bottom w:val="single" w:color="000000" w:sz="4" w:space="0"/>
              <w:right w:val="single" w:color="000000" w:sz="4" w:space="0"/>
            </w:tcBorders>
            <w:noWrap w:val="0"/>
            <w:vAlign w:val="center"/>
          </w:tcPr>
          <w:p w14:paraId="3371E5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预算数与执行数对比</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5D6CD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0056B2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8B1B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2513394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230DE6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资金支付率</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457C0B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6F52FE">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FDA3CF7">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8AE4B99">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r>
      <w:tr w14:paraId="34520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10D446F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2C2A92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246A31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A86511">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BE52C03">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510FD8C">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r>
      <w:tr w14:paraId="75DB5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tcBorders>
              <w:top w:val="single" w:color="000000" w:sz="4" w:space="0"/>
              <w:left w:val="single" w:color="000000" w:sz="4" w:space="0"/>
              <w:bottom w:val="single" w:color="000000" w:sz="4" w:space="0"/>
              <w:right w:val="single" w:color="000000" w:sz="4" w:space="0"/>
            </w:tcBorders>
            <w:noWrap w:val="0"/>
            <w:vAlign w:val="center"/>
          </w:tcPr>
          <w:p w14:paraId="24B199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扣分项</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（10分）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49CC42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被评价</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部门配合度</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30E213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B7CF9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被评价对象工作配合情况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2C1CD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648B4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bl>
    <w:p w14:paraId="3AC5D5F3">
      <w:pPr>
        <w:keepNext w:val="0"/>
        <w:keepLines w:val="0"/>
        <w:pageBreakBefore w:val="0"/>
        <w:kinsoku/>
        <w:wordWrap/>
        <w:overflowPunct/>
        <w:topLinePunct w:val="0"/>
        <w:autoSpaceDE/>
        <w:autoSpaceDN/>
        <w:bidi w:val="0"/>
        <w:spacing w:line="578" w:lineRule="exact"/>
        <w:ind w:left="0" w:leftChars="0"/>
        <w:jc w:val="both"/>
        <w:textAlignment w:val="auto"/>
        <w:rPr>
          <w:rFonts w:hint="default"/>
          <w:lang w:val="en-US" w:eastAsia="zh-CN"/>
        </w:rPr>
      </w:pP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br w:type="page"/>
      </w: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t>附表</w:t>
      </w:r>
      <w:r>
        <w:rPr>
          <w:rFonts w:hint="eastAsia" w:ascii="Times New Roman" w:hAnsi="Times New Roman" w:cs="Times New Roman"/>
          <w:b w:val="0"/>
          <w:bCs w:val="0"/>
          <w:color w:val="auto"/>
          <w:kern w:val="0"/>
          <w:sz w:val="32"/>
          <w:szCs w:val="32"/>
          <w:highlight w:val="none"/>
          <w:u w:val="none"/>
          <w:shd w:val="clear" w:color="auto" w:fill="FFFFFF"/>
          <w:lang w:val="en-US" w:eastAsia="zh-CN"/>
        </w:rPr>
        <w:t>2</w:t>
      </w:r>
    </w:p>
    <w:p w14:paraId="6B909F8D">
      <w:pPr>
        <w:keepNext w:val="0"/>
        <w:keepLines w:val="0"/>
        <w:pageBreakBefore w:val="0"/>
        <w:kinsoku/>
        <w:wordWrap/>
        <w:overflowPunct/>
        <w:topLinePunct w:val="0"/>
        <w:autoSpaceDE/>
        <w:autoSpaceDN/>
        <w:bidi w:val="0"/>
        <w:spacing w:line="578" w:lineRule="exact"/>
        <w:ind w:left="0" w:leftChars="0"/>
        <w:jc w:val="center"/>
        <w:textAlignment w:val="auto"/>
        <w:rPr>
          <w:rFonts w:hint="default" w:ascii="Times New Roman" w:hAnsi="Times New Roman" w:eastAsia="方正小标宋_GBK" w:cs="Times New Roman"/>
          <w:b w:val="0"/>
          <w:bCs w:val="0"/>
          <w:color w:val="auto"/>
          <w:sz w:val="40"/>
          <w:szCs w:val="40"/>
          <w:highlight w:val="none"/>
          <w:u w:val="none"/>
          <w:lang w:val="en-US" w:eastAsia="zh-CN"/>
        </w:rPr>
      </w:pPr>
      <w:r>
        <w:rPr>
          <w:rFonts w:hint="default" w:ascii="Times New Roman" w:hAnsi="Times New Roman" w:eastAsia="方正小标宋_GBK" w:cs="Times New Roman"/>
          <w:b w:val="0"/>
          <w:bCs w:val="0"/>
          <w:color w:val="auto"/>
          <w:sz w:val="40"/>
          <w:szCs w:val="40"/>
          <w:highlight w:val="none"/>
          <w:u w:val="none"/>
          <w:lang w:val="en-US" w:eastAsia="zh-CN"/>
        </w:rPr>
        <w:t>专项预算绩效自评实地踏勘点位清单表</w:t>
      </w:r>
    </w:p>
    <w:p w14:paraId="49EF7E73">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楷体_GB2312" w:hAnsi="楷体_GB2312" w:eastAsia="楷体_GB2312" w:cs="楷体_GB2312"/>
          <w:b w:val="0"/>
          <w:bCs w:val="0"/>
          <w:color w:val="auto"/>
          <w:sz w:val="28"/>
          <w:szCs w:val="28"/>
          <w:highlight w:val="none"/>
          <w:u w:val="none"/>
          <w:lang w:val="en-US" w:eastAsia="zh-CN"/>
        </w:rPr>
      </w:pPr>
      <w:r>
        <w:rPr>
          <w:rFonts w:hint="eastAsia" w:ascii="楷体_GB2312" w:hAnsi="楷体_GB2312" w:eastAsia="楷体_GB2312" w:cs="楷体_GB2312"/>
          <w:b w:val="0"/>
          <w:bCs w:val="0"/>
          <w:color w:val="auto"/>
          <w:sz w:val="28"/>
          <w:szCs w:val="28"/>
          <w:highlight w:val="none"/>
          <w:u w:val="none"/>
          <w:lang w:val="en-US" w:eastAsia="zh-CN"/>
        </w:rPr>
        <w:t>（例表）</w:t>
      </w:r>
    </w:p>
    <w:tbl>
      <w:tblPr>
        <w:tblStyle w:val="10"/>
        <w:tblW w:w="7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5956"/>
        <w:gridCol w:w="905"/>
      </w:tblGrid>
      <w:tr w14:paraId="78BC6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6D92B521">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黑体" w:cs="Times New Roman"/>
                <w:b w:val="0"/>
                <w:bCs w:val="0"/>
                <w:color w:val="auto"/>
                <w:sz w:val="24"/>
                <w:szCs w:val="24"/>
                <w:highlight w:val="none"/>
                <w:u w:val="none"/>
                <w:vertAlign w:val="baseline"/>
                <w:lang w:val="en-US" w:eastAsia="zh-CN"/>
              </w:rPr>
            </w:pPr>
            <w:r>
              <w:rPr>
                <w:rFonts w:hint="default" w:ascii="Times New Roman" w:hAnsi="Times New Roman" w:eastAsia="黑体" w:cs="Times New Roman"/>
                <w:b w:val="0"/>
                <w:bCs w:val="0"/>
                <w:color w:val="auto"/>
                <w:sz w:val="24"/>
                <w:szCs w:val="24"/>
                <w:highlight w:val="none"/>
                <w:u w:val="none"/>
                <w:vertAlign w:val="baseline"/>
                <w:lang w:val="en-US" w:eastAsia="zh-CN"/>
              </w:rPr>
              <w:t>序号</w:t>
            </w:r>
          </w:p>
        </w:tc>
        <w:tc>
          <w:tcPr>
            <w:tcW w:w="5956" w:type="dxa"/>
            <w:noWrap w:val="0"/>
            <w:vAlign w:val="top"/>
          </w:tcPr>
          <w:p w14:paraId="3268B29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黑体" w:cs="Times New Roman"/>
                <w:b w:val="0"/>
                <w:bCs w:val="0"/>
                <w:color w:val="auto"/>
                <w:sz w:val="24"/>
                <w:szCs w:val="24"/>
                <w:highlight w:val="none"/>
                <w:u w:val="none"/>
                <w:vertAlign w:val="baseline"/>
                <w:lang w:val="en" w:eastAsia="zh-CN"/>
              </w:rPr>
            </w:pPr>
            <w:r>
              <w:rPr>
                <w:rFonts w:hint="default" w:ascii="Times New Roman" w:hAnsi="Times New Roman" w:eastAsia="黑体" w:cs="Times New Roman"/>
                <w:b w:val="0"/>
                <w:bCs w:val="0"/>
                <w:color w:val="auto"/>
                <w:sz w:val="24"/>
                <w:szCs w:val="24"/>
                <w:highlight w:val="none"/>
                <w:u w:val="none"/>
                <w:vertAlign w:val="baseline"/>
                <w:lang w:val="en-US" w:eastAsia="zh-CN"/>
              </w:rPr>
              <w:t>实地踏勘点位</w:t>
            </w:r>
          </w:p>
        </w:tc>
        <w:tc>
          <w:tcPr>
            <w:tcW w:w="905" w:type="dxa"/>
            <w:noWrap w:val="0"/>
            <w:vAlign w:val="top"/>
          </w:tcPr>
          <w:p w14:paraId="3F5E312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黑体" w:cs="Times New Roman"/>
                <w:b w:val="0"/>
                <w:bCs w:val="0"/>
                <w:color w:val="auto"/>
                <w:sz w:val="24"/>
                <w:szCs w:val="24"/>
                <w:highlight w:val="none"/>
                <w:u w:val="none"/>
                <w:vertAlign w:val="baseline"/>
                <w:lang w:val="en-US" w:eastAsia="zh-CN"/>
              </w:rPr>
            </w:pPr>
            <w:r>
              <w:rPr>
                <w:rFonts w:hint="default" w:ascii="Times New Roman" w:hAnsi="Times New Roman" w:eastAsia="黑体" w:cs="Times New Roman"/>
                <w:b w:val="0"/>
                <w:bCs w:val="0"/>
                <w:color w:val="auto"/>
                <w:sz w:val="24"/>
                <w:szCs w:val="24"/>
                <w:highlight w:val="none"/>
                <w:u w:val="none"/>
                <w:vertAlign w:val="baseline"/>
                <w:lang w:val="en-US" w:eastAsia="zh-CN"/>
              </w:rPr>
              <w:t>备注</w:t>
            </w:r>
          </w:p>
        </w:tc>
      </w:tr>
      <w:tr w14:paraId="4FFF8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33B819A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1</w:t>
            </w:r>
          </w:p>
        </w:tc>
        <w:tc>
          <w:tcPr>
            <w:tcW w:w="5956" w:type="dxa"/>
            <w:noWrap w:val="0"/>
            <w:vAlign w:val="top"/>
          </w:tcPr>
          <w:p w14:paraId="300FF81A">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r>
              <w:rPr>
                <w:rFonts w:hint="eastAsia" w:cs="Times New Roman"/>
                <w:color w:val="auto"/>
                <w:sz w:val="24"/>
                <w:szCs w:val="24"/>
                <w:highlight w:val="none"/>
                <w:u w:val="none"/>
                <w:vertAlign w:val="baseline"/>
                <w:lang w:val="en" w:eastAsia="zh-CN"/>
              </w:rPr>
              <w:t>阿坝</w:t>
            </w:r>
            <w:r>
              <w:rPr>
                <w:rFonts w:hint="eastAsia" w:cs="Times New Roman"/>
                <w:color w:val="auto"/>
                <w:sz w:val="24"/>
                <w:szCs w:val="24"/>
                <w:highlight w:val="none"/>
                <w:u w:val="none"/>
                <w:vertAlign w:val="baseline"/>
                <w:lang w:val="en-US" w:eastAsia="zh-CN"/>
              </w:rPr>
              <w:t>州林草局</w:t>
            </w:r>
          </w:p>
        </w:tc>
        <w:tc>
          <w:tcPr>
            <w:tcW w:w="905" w:type="dxa"/>
            <w:noWrap w:val="0"/>
            <w:vAlign w:val="top"/>
          </w:tcPr>
          <w:p w14:paraId="3AD96D1E">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51361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78310F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p>
        </w:tc>
        <w:tc>
          <w:tcPr>
            <w:tcW w:w="5956" w:type="dxa"/>
            <w:noWrap w:val="0"/>
            <w:vAlign w:val="top"/>
          </w:tcPr>
          <w:p w14:paraId="256E410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78483220">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9302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C74E9B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p>
        </w:tc>
        <w:tc>
          <w:tcPr>
            <w:tcW w:w="5956" w:type="dxa"/>
            <w:noWrap w:val="0"/>
            <w:vAlign w:val="top"/>
          </w:tcPr>
          <w:p w14:paraId="653AD4A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28EA6C46">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2D56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2DB8F02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p>
        </w:tc>
        <w:tc>
          <w:tcPr>
            <w:tcW w:w="5956" w:type="dxa"/>
            <w:noWrap w:val="0"/>
            <w:vAlign w:val="top"/>
          </w:tcPr>
          <w:p w14:paraId="62E93A39">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46EE7A9E">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4B4F6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46F5DC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p>
        </w:tc>
        <w:tc>
          <w:tcPr>
            <w:tcW w:w="5956" w:type="dxa"/>
            <w:noWrap w:val="0"/>
            <w:vAlign w:val="top"/>
          </w:tcPr>
          <w:p w14:paraId="6F60C46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5001E44C">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B0B4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C7E6F0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p>
        </w:tc>
        <w:tc>
          <w:tcPr>
            <w:tcW w:w="5956" w:type="dxa"/>
            <w:noWrap w:val="0"/>
            <w:vAlign w:val="top"/>
          </w:tcPr>
          <w:p w14:paraId="3F5E5B2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57E5921B">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7C0DA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6ACED0E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p>
        </w:tc>
        <w:tc>
          <w:tcPr>
            <w:tcW w:w="5956" w:type="dxa"/>
            <w:noWrap w:val="0"/>
            <w:vAlign w:val="top"/>
          </w:tcPr>
          <w:p w14:paraId="31FE5D5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639197B6">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18E2F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997754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p>
        </w:tc>
        <w:tc>
          <w:tcPr>
            <w:tcW w:w="5956" w:type="dxa"/>
            <w:noWrap w:val="0"/>
            <w:vAlign w:val="top"/>
          </w:tcPr>
          <w:p w14:paraId="46F7ACB5">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575F8646">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7269A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7851799">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57C9FF19">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6661EF31">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23B31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C90E11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0EFC2C7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7B8700EC">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1E3B4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4A1F771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2A98E30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16B56580">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1BCC3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090272AA">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5F1D8F9C">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0B359911">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2EB8B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69D1016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16F828F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6E9166D9">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DC59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6709A8A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4C671CF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21CA761C">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407CF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00AC3F0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6DB7BB6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76F4D87B">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47396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202B66E1">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55A668B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7192A938">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9BC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17213B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7B71E76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2346EFB4">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064E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4137E1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43A12E7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24934174">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E86F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43A5B3F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64B1F2E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681796B2">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37BFA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A355E5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4BAED1E8">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26DD5DA7">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bl>
    <w:p w14:paraId="3B149EFA">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default" w:ascii="Times New Roman" w:hAnsi="Times New Roman" w:eastAsia="宋体" w:cs="Times New Roman"/>
          <w:b w:val="0"/>
          <w:bCs w:val="0"/>
          <w:color w:val="auto"/>
          <w:sz w:val="21"/>
          <w:szCs w:val="21"/>
          <w:highlight w:val="none"/>
          <w:u w:val="none"/>
          <w:vertAlign w:val="baseline"/>
          <w:lang w:val="en-US" w:eastAsia="zh-CN"/>
        </w:rPr>
        <w:t>备注：项目</w:t>
      </w:r>
      <w:r>
        <w:rPr>
          <w:rFonts w:hint="eastAsia" w:eastAsia="宋体" w:cs="Times New Roman"/>
          <w:b w:val="0"/>
          <w:bCs w:val="0"/>
          <w:color w:val="auto"/>
          <w:sz w:val="21"/>
          <w:szCs w:val="21"/>
          <w:highlight w:val="none"/>
          <w:u w:val="none"/>
          <w:vertAlign w:val="baseline"/>
          <w:lang w:val="en-US" w:eastAsia="zh-CN"/>
        </w:rPr>
        <w:t>实地踏勘</w:t>
      </w:r>
      <w:r>
        <w:rPr>
          <w:rFonts w:hint="default" w:ascii="Times New Roman" w:hAnsi="Times New Roman" w:eastAsia="宋体" w:cs="Times New Roman"/>
          <w:b w:val="0"/>
          <w:bCs w:val="0"/>
          <w:color w:val="auto"/>
          <w:sz w:val="21"/>
          <w:szCs w:val="21"/>
          <w:highlight w:val="none"/>
          <w:u w:val="none"/>
          <w:vertAlign w:val="baseline"/>
          <w:lang w:val="en-US" w:eastAsia="zh-CN"/>
        </w:rPr>
        <w:t>点位包括市（州）本级、县（市、区）</w:t>
      </w:r>
      <w:r>
        <w:rPr>
          <w:rFonts w:hint="eastAsia" w:eastAsia="宋体" w:cs="Times New Roman"/>
          <w:b w:val="0"/>
          <w:bCs w:val="0"/>
          <w:color w:val="auto"/>
          <w:sz w:val="21"/>
          <w:szCs w:val="21"/>
          <w:highlight w:val="none"/>
          <w:u w:val="none"/>
          <w:vertAlign w:val="baseline"/>
          <w:lang w:val="en-US" w:eastAsia="zh-CN"/>
        </w:rPr>
        <w:t>本级及有关项目、单位、公司</w:t>
      </w:r>
      <w:r>
        <w:rPr>
          <w:rFonts w:hint="default" w:ascii="Times New Roman" w:hAnsi="Times New Roman" w:eastAsia="宋体" w:cs="Times New Roman"/>
          <w:b w:val="0"/>
          <w:bCs w:val="0"/>
          <w:color w:val="auto"/>
          <w:sz w:val="21"/>
          <w:szCs w:val="21"/>
          <w:highlight w:val="none"/>
          <w:u w:val="none"/>
          <w:vertAlign w:val="baseline"/>
          <w:lang w:val="en-US" w:eastAsia="zh-CN"/>
        </w:rPr>
        <w:t>等。</w:t>
      </w:r>
    </w:p>
    <w:p w14:paraId="72373292">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562E8A4A">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br w:type="page"/>
      </w: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t>附表</w:t>
      </w:r>
      <w:r>
        <w:rPr>
          <w:rFonts w:hint="eastAsia" w:eastAsia="黑体" w:cs="Times New Roman"/>
          <w:b w:val="0"/>
          <w:bCs w:val="0"/>
          <w:color w:val="auto"/>
          <w:kern w:val="0"/>
          <w:sz w:val="32"/>
          <w:szCs w:val="32"/>
          <w:highlight w:val="none"/>
          <w:u w:val="none"/>
          <w:shd w:val="clear" w:color="auto" w:fill="FFFFFF"/>
          <w:lang w:val="en-US" w:eastAsia="zh-CN"/>
        </w:rPr>
        <w:t>3</w:t>
      </w:r>
    </w:p>
    <w:tbl>
      <w:tblPr>
        <w:tblStyle w:val="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52"/>
        <w:gridCol w:w="1081"/>
        <w:gridCol w:w="1250"/>
        <w:gridCol w:w="1312"/>
        <w:gridCol w:w="1127"/>
        <w:gridCol w:w="971"/>
        <w:gridCol w:w="1061"/>
        <w:gridCol w:w="938"/>
        <w:gridCol w:w="1841"/>
      </w:tblGrid>
      <w:tr w14:paraId="6D878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6" w:hRule="atLeast"/>
          <w:jc w:val="center"/>
        </w:trPr>
        <w:tc>
          <w:tcPr>
            <w:tcW w:w="10233" w:type="dxa"/>
            <w:gridSpan w:val="9"/>
            <w:noWrap w:val="0"/>
            <w:vAlign w:val="center"/>
          </w:tcPr>
          <w:p w14:paraId="72F29B04">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黑体" w:cs="Times New Roman"/>
                <w:i w:val="0"/>
                <w:color w:val="000000"/>
                <w:sz w:val="30"/>
                <w:szCs w:val="30"/>
                <w:u w:val="none"/>
              </w:rPr>
            </w:pPr>
            <w:r>
              <w:rPr>
                <w:rFonts w:hint="default" w:ascii="Times New Roman" w:hAnsi="Times New Roman" w:eastAsia="方正小标宋简体" w:cs="Times New Roman"/>
                <w:i w:val="0"/>
                <w:color w:val="000000"/>
                <w:kern w:val="0"/>
                <w:sz w:val="40"/>
                <w:szCs w:val="40"/>
                <w:u w:val="none"/>
                <w:lang w:val="en-US" w:eastAsia="zh-CN" w:bidi="ar"/>
              </w:rPr>
              <w:t>专项预算项目绩效目标完成情况自评表</w:t>
            </w:r>
          </w:p>
        </w:tc>
      </w:tr>
      <w:tr w14:paraId="67516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14:paraId="08BD0816">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项目名称</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44B30890">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rPr>
            </w:pPr>
            <w:r>
              <w:rPr>
                <w:rFonts w:hint="eastAsia" w:ascii="Times New Roman" w:hAnsi="Times New Roman" w:eastAsia="宋体" w:cs="Times New Roman"/>
                <w:i w:val="0"/>
                <w:color w:val="000000"/>
                <w:sz w:val="24"/>
                <w:szCs w:val="24"/>
                <w:u w:val="none"/>
                <w:lang w:val="en-US" w:eastAsia="zh-CN"/>
              </w:rPr>
              <w:t>森林草原防灭火视频会议专线费用项目</w:t>
            </w:r>
          </w:p>
        </w:tc>
      </w:tr>
      <w:tr w14:paraId="07D31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8"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14:paraId="099E12D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预算单位</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06992CC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阿坝州林业和草原局</w:t>
            </w:r>
          </w:p>
        </w:tc>
      </w:tr>
      <w:tr w14:paraId="4B064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14:paraId="5CE87895">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项目类型</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1FAE0A6C">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3662A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14:paraId="3359CE2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 概况</w:t>
            </w: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3F40859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中长期规划（名称、文号，仅指</w:t>
            </w:r>
          </w:p>
          <w:p w14:paraId="5202E33C">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常年项目）</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1DFDD35F">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376D6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6671E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28B2A82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资金管理办法（名称、文号）</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448E9CBE">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3456A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2EE4F4">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14360A0C">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绩效分配方式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90159F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w:t>
            </w:r>
            <w:r>
              <w:rPr>
                <w:rFonts w:hint="default" w:ascii="Times New Roman" w:hAnsi="Times New Roman" w:eastAsia="宋体" w:cs="Times New Roman"/>
                <w:i w:val="0"/>
                <w:color w:val="000000"/>
                <w:kern w:val="0"/>
                <w:sz w:val="24"/>
                <w:szCs w:val="24"/>
                <w:u w:val="none"/>
                <w:lang w:val="en-US" w:eastAsia="zh-CN" w:bidi="ar"/>
              </w:rPr>
              <w:t>因素法</w:t>
            </w:r>
          </w:p>
        </w:tc>
        <w:tc>
          <w:tcPr>
            <w:tcW w:w="2032" w:type="dxa"/>
            <w:gridSpan w:val="2"/>
            <w:tcBorders>
              <w:top w:val="single" w:color="000000" w:sz="4" w:space="0"/>
              <w:left w:val="single" w:color="000000" w:sz="4" w:space="0"/>
              <w:bottom w:val="single" w:color="000000" w:sz="4" w:space="0"/>
              <w:right w:val="single" w:color="000000" w:sz="4" w:space="0"/>
            </w:tcBorders>
            <w:noWrap w:val="0"/>
            <w:vAlign w:val="center"/>
          </w:tcPr>
          <w:p w14:paraId="00A4B00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£项目法</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9EB55F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w:t>
            </w:r>
            <w:r>
              <w:rPr>
                <w:rFonts w:hint="default" w:ascii="Times New Roman" w:hAnsi="Times New Roman" w:eastAsia="宋体" w:cs="Times New Roman"/>
                <w:i w:val="0"/>
                <w:color w:val="000000"/>
                <w:kern w:val="0"/>
                <w:sz w:val="24"/>
                <w:szCs w:val="24"/>
                <w:u w:val="none"/>
                <w:lang w:val="en-US" w:eastAsia="zh-CN" w:bidi="ar"/>
              </w:rPr>
              <w:t>据实据效</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349CF1AC">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w:t>
            </w:r>
            <w:r>
              <w:rPr>
                <w:rFonts w:hint="default" w:ascii="Times New Roman" w:hAnsi="Times New Roman" w:eastAsia="宋体" w:cs="Times New Roman"/>
                <w:i w:val="0"/>
                <w:color w:val="000000"/>
                <w:kern w:val="0"/>
                <w:sz w:val="24"/>
                <w:szCs w:val="24"/>
                <w:u w:val="none"/>
                <w:lang w:val="en-US" w:eastAsia="zh-CN" w:bidi="ar"/>
              </w:rPr>
              <w:t>因素法与项目法相结合</w:t>
            </w:r>
          </w:p>
        </w:tc>
      </w:tr>
      <w:tr w14:paraId="55230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23E3AC">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4B83E16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立项依据</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5155C5F8">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5E80F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0F55A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22930A0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使用范围</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0BCF5094">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02B3A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F8C85E">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560C27B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申报（补助）条件</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783C7C2B">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7268A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35FFB0">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7704840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项目起止年限</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7F0F1837">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r>
      <w:tr w14:paraId="03B4F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46683EE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项目资金</w:t>
            </w:r>
          </w:p>
          <w:p w14:paraId="19020496">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（万元）</w:t>
            </w: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14:paraId="14E1A6C5">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righ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 xml:space="preserve">  年度资金总额：</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362D55E1">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4.8</w:t>
            </w:r>
          </w:p>
        </w:tc>
      </w:tr>
      <w:tr w14:paraId="2B80E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C70EB1B">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14:paraId="0DBE17AC">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 xml:space="preserve">      其中：财政拨款</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5573978C">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4.8</w:t>
            </w:r>
          </w:p>
        </w:tc>
      </w:tr>
      <w:tr w14:paraId="59B3E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7A2E142">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14:paraId="1E084E9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 xml:space="preserve">            其他资金</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668FC5EE">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05447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14:paraId="4336C2E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总体 目标</w:t>
            </w:r>
          </w:p>
        </w:tc>
        <w:tc>
          <w:tcPr>
            <w:tcW w:w="9581" w:type="dxa"/>
            <w:gridSpan w:val="8"/>
            <w:tcBorders>
              <w:top w:val="single" w:color="000000" w:sz="4" w:space="0"/>
              <w:left w:val="single" w:color="000000" w:sz="4" w:space="0"/>
              <w:bottom w:val="single" w:color="000000" w:sz="4" w:space="0"/>
              <w:right w:val="single" w:color="000000" w:sz="4" w:space="0"/>
            </w:tcBorders>
            <w:noWrap w:val="0"/>
            <w:vAlign w:val="center"/>
          </w:tcPr>
          <w:p w14:paraId="6169809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年度目标</w:t>
            </w:r>
          </w:p>
        </w:tc>
      </w:tr>
      <w:tr w14:paraId="5BCAD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B58D15">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9581" w:type="dxa"/>
            <w:gridSpan w:val="8"/>
            <w:tcBorders>
              <w:top w:val="single" w:color="000000" w:sz="4" w:space="0"/>
              <w:left w:val="single" w:color="000000" w:sz="4" w:space="0"/>
              <w:bottom w:val="single" w:color="000000" w:sz="4" w:space="0"/>
              <w:right w:val="single" w:color="000000" w:sz="4" w:space="0"/>
            </w:tcBorders>
            <w:noWrap w:val="0"/>
            <w:vAlign w:val="center"/>
          </w:tcPr>
          <w:p w14:paraId="6E53FBA1">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已全面完成森林草原防灭火视频会议专线费用支付4.8万元。</w:t>
            </w:r>
          </w:p>
        </w:tc>
      </w:tr>
      <w:tr w14:paraId="1022D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tcBorders>
            <w:noWrap w:val="0"/>
            <w:vAlign w:val="center"/>
          </w:tcPr>
          <w:p w14:paraId="3AE2316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绩效 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9459D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一级指标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496A805A">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二级指标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65EA9BB0">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三级指标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76FADB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指标性质</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055370F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指标值</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7F7DF9E6">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度量单位</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274C6F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权重</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213492C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实际完成指标值</w:t>
            </w:r>
          </w:p>
        </w:tc>
      </w:tr>
      <w:tr w14:paraId="6A04B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1944C03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14:paraId="18C8632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产出指标</w:t>
            </w: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2E6B65B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数量指标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7DEFCFCF">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项目数量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794BEA1E">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ascii="宋体" w:hAnsi="宋体" w:eastAsia="宋体" w:cs="宋体"/>
                <w:i w:val="0"/>
                <w:iCs w:val="0"/>
                <w:color w:val="000000"/>
                <w:kern w:val="0"/>
                <w:sz w:val="18"/>
                <w:szCs w:val="18"/>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0BDBE517">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Times New Roman" w:hAnsi="Times New Roman" w:eastAsia="宋体" w:cs="Times New Roman"/>
                <w:i w:val="0"/>
                <w:iCs w:val="0"/>
                <w:color w:val="000000"/>
                <w:kern w:val="0"/>
                <w:sz w:val="24"/>
                <w:szCs w:val="24"/>
                <w:u w:val="none"/>
                <w:lang w:val="en-US" w:eastAsia="zh-CN" w:bidi="ar"/>
              </w:rPr>
              <w:t>1</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1A6789F8">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D033F2B">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577DB1D2">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r>
      <w:tr w14:paraId="77B4E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745CC39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5A197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EB91A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5F3EF279">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750502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12B66A6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0107DB5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29B43F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738912E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479AD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7965F5F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ABE8E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7A3DE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质量指标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1C59B136">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项目开工率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AF54AC8">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25BC1AEE">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0F8050A5">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449D1B6">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1C8EE392">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lang w:val="en-US"/>
              </w:rPr>
            </w:pPr>
            <w:r>
              <w:rPr>
                <w:rFonts w:hint="eastAsia" w:ascii="Times New Roman" w:hAnsi="Times New Roman" w:eastAsia="宋体" w:cs="Times New Roman"/>
                <w:i w:val="0"/>
                <w:iCs w:val="0"/>
                <w:color w:val="000000" w:themeColor="text1"/>
                <w:kern w:val="0"/>
                <w:sz w:val="24"/>
                <w:szCs w:val="24"/>
                <w:u w:val="none"/>
                <w:lang w:val="en-US" w:eastAsia="zh-CN" w:bidi="ar"/>
                <w14:textFill>
                  <w14:solidFill>
                    <w14:schemeClr w14:val="tx1"/>
                  </w14:solidFill>
                </w14:textFill>
              </w:rPr>
              <w:t>15</w:t>
            </w:r>
          </w:p>
        </w:tc>
      </w:tr>
      <w:tr w14:paraId="1A48F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43788C9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AEAE5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7218F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66EF11B7">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647EB2C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3E2173BB">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794D5AE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E3ECB5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6444DAD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2A85A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00139C2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8E702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5CE8DCB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时效指标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2267270D">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建设时限</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16C9128C">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51365EEF">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578E019C">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42ADD1E">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4C58EB74">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r>
      <w:tr w14:paraId="1A1DD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312DAC4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CD405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1771D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29C813E5">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4098E62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26C95CE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49651FE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9143D2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27A9961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28EFF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0222DD3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33718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3C846CE0">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41177A1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7A3C60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6A878D6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6BDB5D6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FA20C3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7D52505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01B05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7F3F0299">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14:paraId="6C04DF5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效益指标</w:t>
            </w: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30C59E9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经济效益</w:t>
            </w:r>
          </w:p>
          <w:p w14:paraId="43BF780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5828F3BC">
            <w:pPr>
              <w:keepNext w:val="0"/>
              <w:keepLines w:val="0"/>
              <w:widowControl/>
              <w:suppressLineNumbers w:val="0"/>
              <w:jc w:val="both"/>
              <w:textAlignment w:val="center"/>
              <w:rPr>
                <w:rFonts w:hint="default" w:ascii="Times New Roman" w:hAnsi="Times New Roman" w:eastAsia="宋体" w:cs="Times New Roman"/>
                <w:i w:val="0"/>
                <w:color w:val="000000"/>
                <w:sz w:val="24"/>
                <w:szCs w:val="24"/>
                <w:u w:val="none"/>
                <w:lang w:val="en-US"/>
              </w:rPr>
            </w:pPr>
            <w:r>
              <w:rPr>
                <w:rFonts w:hint="eastAsia" w:ascii="宋体" w:hAnsi="宋体" w:eastAsia="宋体" w:cs="宋体"/>
                <w:i w:val="0"/>
                <w:iCs w:val="0"/>
                <w:color w:val="000000"/>
                <w:kern w:val="0"/>
                <w:sz w:val="20"/>
                <w:szCs w:val="20"/>
                <w:u w:val="none"/>
                <w:lang w:val="en-US" w:eastAsia="zh-CN" w:bidi="ar"/>
              </w:rPr>
              <w:t>减少现场会次数，降低成本。</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4056A60A">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1D55961D">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优</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6F111AEE">
            <w:pPr>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3D8B671">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3358D518">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14:paraId="3099C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00BF293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2D7CEB">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C8862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7AF56994">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1C91B9F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17BA816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390ADF4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3043C2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6E29C75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19D16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09FE90B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9F2C4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restart"/>
            <w:tcBorders>
              <w:top w:val="single" w:color="000000" w:sz="4" w:space="0"/>
              <w:left w:val="single" w:color="000000" w:sz="4" w:space="0"/>
              <w:right w:val="single" w:color="000000" w:sz="4" w:space="0"/>
            </w:tcBorders>
            <w:noWrap w:val="0"/>
            <w:vAlign w:val="center"/>
          </w:tcPr>
          <w:p w14:paraId="4202ABC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社会效益</w:t>
            </w:r>
          </w:p>
          <w:p w14:paraId="681FAAC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24C082C4">
            <w:pPr>
              <w:keepNext w:val="0"/>
              <w:keepLines w:val="0"/>
              <w:widowControl/>
              <w:suppressLineNumbers w:val="0"/>
              <w:jc w:val="both"/>
              <w:textAlignment w:val="center"/>
              <w:rPr>
                <w:rFonts w:hint="default" w:ascii="Times New Roman" w:hAnsi="Times New Roman" w:eastAsia="宋体" w:cs="Times New Roman"/>
                <w:i w:val="0"/>
                <w:color w:val="000000"/>
                <w:sz w:val="24"/>
                <w:szCs w:val="24"/>
                <w:u w:val="none"/>
                <w:lang w:val="en-US"/>
              </w:rPr>
            </w:pPr>
            <w:r>
              <w:rPr>
                <w:rFonts w:hint="eastAsia" w:ascii="宋体" w:hAnsi="宋体" w:eastAsia="宋体" w:cs="宋体"/>
                <w:i w:val="0"/>
                <w:iCs w:val="0"/>
                <w:color w:val="000000"/>
                <w:kern w:val="0"/>
                <w:sz w:val="20"/>
                <w:szCs w:val="20"/>
                <w:u w:val="none"/>
                <w:lang w:val="en-US" w:eastAsia="zh-CN" w:bidi="ar"/>
              </w:rPr>
              <w:t>巩固森林草原防灭火常态化工作。</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5C163588">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161DDFC0">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优</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6BC25294">
            <w:pPr>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E4C95B4">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4DDA3930">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r>
      <w:tr w14:paraId="44F09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6507913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8BD6C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top w:val="single" w:color="000000" w:sz="4" w:space="0"/>
              <w:left w:val="single" w:color="000000" w:sz="4" w:space="0"/>
              <w:right w:val="single" w:color="000000" w:sz="4" w:space="0"/>
            </w:tcBorders>
            <w:noWrap w:val="0"/>
            <w:vAlign w:val="center"/>
          </w:tcPr>
          <w:p w14:paraId="470ABE7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779B095B">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709201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4DDEDF4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485A77A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1D72BE9">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7BDA377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0C69C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5011441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36B72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1A648560">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7A0D654A">
            <w:pPr>
              <w:keepNext w:val="0"/>
              <w:keepLines w:val="0"/>
              <w:widowControl/>
              <w:suppressLineNumbers w:val="0"/>
              <w:jc w:val="both"/>
              <w:textAlignment w:val="center"/>
              <w:rPr>
                <w:rFonts w:hint="default"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sz w:val="24"/>
                <w:szCs w:val="24"/>
                <w:u w:val="none"/>
                <w:lang w:val="en-US" w:eastAsia="zh-CN"/>
              </w:rPr>
              <w:t>上传下达森林草原防火工作情况。</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19775A9">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7262EA48">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优</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6BA28AC0">
            <w:pPr>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26B35BE">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21C7C524">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0FF09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66666EF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tcBorders>
              <w:top w:val="single" w:color="000000" w:sz="4" w:space="0"/>
              <w:left w:val="single" w:color="000000" w:sz="4" w:space="0"/>
              <w:right w:val="single" w:color="000000" w:sz="4" w:space="0"/>
            </w:tcBorders>
            <w:noWrap w:val="0"/>
            <w:vAlign w:val="center"/>
          </w:tcPr>
          <w:p w14:paraId="4121A52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满意度</w:t>
            </w:r>
          </w:p>
          <w:p w14:paraId="2BB36EF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250" w:type="dxa"/>
            <w:tcBorders>
              <w:top w:val="single" w:color="000000" w:sz="4" w:space="0"/>
              <w:left w:val="single" w:color="000000" w:sz="4" w:space="0"/>
              <w:right w:val="single" w:color="000000" w:sz="4" w:space="0"/>
            </w:tcBorders>
            <w:noWrap w:val="0"/>
            <w:vAlign w:val="center"/>
          </w:tcPr>
          <w:p w14:paraId="254D003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服务对象</w:t>
            </w:r>
          </w:p>
          <w:p w14:paraId="2E54D654">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5395EFFA">
            <w:pPr>
              <w:keepNext w:val="0"/>
              <w:keepLines w:val="0"/>
              <w:widowControl/>
              <w:suppressLineNumbers w:val="0"/>
              <w:jc w:val="both"/>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受益群众满意度。</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97860E6">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23AAFDD4">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4A4D5556">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AF2F92F">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2A390096">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5A486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1FB2458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14:paraId="631D5A3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成本指标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49A93B90">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经济成本</w:t>
            </w:r>
          </w:p>
          <w:p w14:paraId="7A15131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312" w:type="dxa"/>
            <w:tcBorders>
              <w:top w:val="single" w:color="000000" w:sz="4" w:space="0"/>
              <w:bottom w:val="single" w:color="000000" w:sz="4" w:space="0"/>
              <w:right w:val="single" w:color="000000" w:sz="4" w:space="0"/>
            </w:tcBorders>
            <w:noWrap w:val="0"/>
            <w:vAlign w:val="center"/>
          </w:tcPr>
          <w:p w14:paraId="637E48AE">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专线费用</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E0CB106">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503E3A1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4.8</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13DE3C15">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万元</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E73B0B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4.8</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7C892B3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20</w:t>
            </w:r>
          </w:p>
        </w:tc>
      </w:tr>
      <w:tr w14:paraId="45207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0FD5B1D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413801">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167B212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w:t>
            </w:r>
          </w:p>
        </w:tc>
        <w:tc>
          <w:tcPr>
            <w:tcW w:w="1312" w:type="dxa"/>
            <w:tcBorders>
              <w:top w:val="single" w:color="000000" w:sz="4" w:space="0"/>
              <w:bottom w:val="single" w:color="000000" w:sz="4" w:space="0"/>
              <w:right w:val="single" w:color="000000" w:sz="4" w:space="0"/>
            </w:tcBorders>
            <w:noWrap w:val="0"/>
            <w:vAlign w:val="center"/>
          </w:tcPr>
          <w:p w14:paraId="59C61C01">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7EA0268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7AE092A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53439E6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9F8D31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3714483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bl>
    <w:p w14:paraId="285B8B55">
      <w:pPr>
        <w:pStyle w:val="8"/>
        <w:keepNext w:val="0"/>
        <w:keepLines w:val="0"/>
        <w:pageBreakBefore w:val="0"/>
        <w:kinsoku/>
        <w:wordWrap/>
        <w:overflowPunct/>
        <w:topLinePunct w:val="0"/>
        <w:autoSpaceDE/>
        <w:autoSpaceDN/>
        <w:bidi w:val="0"/>
        <w:spacing w:after="0" w:line="578" w:lineRule="exact"/>
        <w:ind w:left="0" w:leftChars="0"/>
        <w:rPr>
          <w:rFonts w:hint="default" w:ascii="黑体" w:hAnsi="黑体" w:eastAsia="黑体" w:cs="黑体"/>
          <w:sz w:val="24"/>
          <w:szCs w:val="24"/>
          <w:highlight w:val="none"/>
          <w:lang w:val="en-US" w:eastAsia="zh-CN"/>
        </w:rPr>
      </w:pPr>
    </w:p>
    <w:p w14:paraId="6E926492"/>
    <w:p w14:paraId="0E3F6081"/>
    <w:p w14:paraId="009E9040"/>
    <w:p w14:paraId="7FE111F6"/>
    <w:sectPr>
      <w:footerReference r:id="rId3" w:type="default"/>
      <w:pgSz w:w="11906" w:h="16838"/>
      <w:pgMar w:top="1440" w:right="1797" w:bottom="1440" w:left="179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DF7D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BD10A2">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BD10A2">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5D245B"/>
    <w:rsid w:val="2251621D"/>
    <w:rsid w:val="395D245B"/>
    <w:rsid w:val="3E877352"/>
    <w:rsid w:val="3FD61B79"/>
    <w:rsid w:val="586A01FF"/>
    <w:rsid w:val="768D1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widowControl/>
      <w:tabs>
        <w:tab w:val="left" w:pos="2160"/>
      </w:tabs>
      <w:spacing w:line="480" w:lineRule="auto"/>
      <w:jc w:val="left"/>
    </w:pPr>
    <w:rPr>
      <w:rFonts w:ascii="楷体_GB2312" w:eastAsia="黑体"/>
      <w:kern w:val="0"/>
      <w:position w:val="3"/>
      <w:sz w:val="20"/>
      <w:szCs w:val="20"/>
      <w:lang w:eastAsia="en-US"/>
    </w:rPr>
  </w:style>
  <w:style w:type="paragraph" w:styleId="3">
    <w:name w:val="Body Text Indent"/>
    <w:basedOn w:val="1"/>
    <w:qFormat/>
    <w:uiPriority w:val="0"/>
    <w:pPr>
      <w:spacing w:after="120"/>
      <w:ind w:leftChars="200"/>
    </w:pPr>
    <w:rPr>
      <w:rFonts w:ascii="仿宋_GB2312"/>
      <w:szCs w:val="32"/>
    </w:rPr>
  </w:style>
  <w:style w:type="paragraph" w:styleId="4">
    <w:name w:val="List 2"/>
    <w:basedOn w:val="1"/>
    <w:qFormat/>
    <w:uiPriority w:val="0"/>
    <w:pPr>
      <w:ind w:left="400" w:leftChars="200" w:hanging="200" w:hangingChars="200"/>
    </w:pPr>
  </w:style>
  <w:style w:type="paragraph" w:styleId="5">
    <w:name w:val="footer"/>
    <w:basedOn w:val="1"/>
    <w:unhideWhenUsed/>
    <w:qFormat/>
    <w:uiPriority w:val="99"/>
    <w:pPr>
      <w:tabs>
        <w:tab w:val="center" w:pos="4153"/>
        <w:tab w:val="right" w:pos="8306"/>
      </w:tabs>
      <w:snapToGrid w:val="0"/>
      <w:jc w:val="left"/>
    </w:pPr>
    <w:rPr>
      <w:sz w:val="18"/>
      <w:szCs w:val="18"/>
      <w:lang w:val="zh-CN" w:eastAsia="zh-CN"/>
    </w:rPr>
  </w:style>
  <w:style w:type="paragraph" w:styleId="6">
    <w:name w:val="toc 1"/>
    <w:basedOn w:val="1"/>
    <w:next w:val="1"/>
    <w:qFormat/>
    <w:uiPriority w:val="0"/>
  </w:style>
  <w:style w:type="paragraph" w:styleId="7">
    <w:name w:val="Subtitle"/>
    <w:basedOn w:val="1"/>
    <w:next w:val="1"/>
    <w:qFormat/>
    <w:uiPriority w:val="0"/>
    <w:pPr>
      <w:spacing w:before="240" w:after="60" w:line="312" w:lineRule="auto"/>
      <w:jc w:val="center"/>
      <w:outlineLvl w:val="1"/>
    </w:pPr>
    <w:rPr>
      <w:rFonts w:ascii="Arial" w:hAnsi="Arial" w:cs="Arial"/>
      <w:b/>
      <w:bCs/>
      <w:kern w:val="28"/>
      <w:sz w:val="32"/>
      <w:szCs w:val="32"/>
      <w:lang w:bidi="ar-SA"/>
    </w:rPr>
  </w:style>
  <w:style w:type="paragraph" w:styleId="8">
    <w:name w:val="Body Text First Indent 2"/>
    <w:basedOn w:val="3"/>
    <w:unhideWhenUsed/>
    <w:qFormat/>
    <w:uiPriority w:val="99"/>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3296</Words>
  <Characters>3393</Characters>
  <Lines>0</Lines>
  <Paragraphs>0</Paragraphs>
  <TotalTime>28</TotalTime>
  <ScaleCrop>false</ScaleCrop>
  <LinksUpToDate>false</LinksUpToDate>
  <CharactersWithSpaces>3424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2024-07-23T03:04:00Z</dcterms:created>
  <dc:creator>春风暖暖笑意浓</dc:creator>
  <cp:lastModifiedBy>春风暖暖笑意浓</cp:lastModifiedBy>
  <dcterms:modified xsi:type="dcterms:W3CDTF">2025-04-10T03:52:36Z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10BDD2074552450D9131AEC38828CE2B</vt:lpwstr>
  </property>
  <property fmtid="{D5CDD505-2E9C-101B-9397-08002B2CF9AE}" pid="4" name="KSOTemplateDocerSaveRecord">
    <vt:lpwstr>eyJoZGlkIjoiZmEzNWZjOTgxNmEwMWRhYjJmMmYwZGM3ZDU1OTliNjgiLCJ1c2VySWQiOiI1MzU5MTI1ODUifQ==</vt:lpwstr>
  </property>
</Properties>
</file>